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ACB7" w14:textId="77777777" w:rsidR="00D37E16" w:rsidRPr="00AC5733" w:rsidRDefault="0026308E" w:rsidP="00F6313B">
      <w:pPr>
        <w:jc w:val="center"/>
        <w:rPr>
          <w:b/>
          <w:sz w:val="24"/>
        </w:rPr>
      </w:pPr>
      <w:bookmarkStart w:id="0" w:name="_GoBack"/>
      <w:bookmarkEnd w:id="0"/>
      <w:r w:rsidRPr="00AC5733">
        <w:rPr>
          <w:b/>
          <w:sz w:val="24"/>
        </w:rPr>
        <w:t>A Magyarországi Evangélikus Egyház gazdasági önállósodásának stratégiája</w:t>
      </w:r>
    </w:p>
    <w:p w14:paraId="4FCBD833" w14:textId="00B8B9D4" w:rsidR="00AC5733" w:rsidRPr="00CC6ADA" w:rsidRDefault="00757EBF" w:rsidP="00F6313B">
      <w:pPr>
        <w:jc w:val="center"/>
        <w:rPr>
          <w:u w:val="single"/>
        </w:rPr>
      </w:pPr>
      <w:r w:rsidRPr="00CC6ADA">
        <w:rPr>
          <w:u w:val="single"/>
        </w:rPr>
        <w:t>előterjesztés az MEE Zsinata számára</w:t>
      </w:r>
    </w:p>
    <w:p w14:paraId="49BD9BBC" w14:textId="0A0C4B1A" w:rsidR="00757EBF" w:rsidRDefault="00757EBF" w:rsidP="00F6313B">
      <w:pPr>
        <w:jc w:val="center"/>
        <w:rPr>
          <w:i/>
        </w:rPr>
      </w:pPr>
      <w:r>
        <w:rPr>
          <w:i/>
        </w:rPr>
        <w:t>2019. február</w:t>
      </w:r>
    </w:p>
    <w:p w14:paraId="20B5D37F" w14:textId="77777777" w:rsidR="00CC6ADA" w:rsidRDefault="00CC6ADA" w:rsidP="00EB2039">
      <w:pPr>
        <w:ind w:left="4395"/>
        <w:jc w:val="right"/>
        <w:rPr>
          <w:i/>
          <w:lang w:val="en-US"/>
        </w:rPr>
      </w:pPr>
      <w:r w:rsidRPr="00CC6ADA">
        <w:rPr>
          <w:i/>
          <w:lang w:val="en-US"/>
        </w:rPr>
        <w:t>"</w:t>
      </w:r>
      <w:proofErr w:type="spellStart"/>
      <w:proofErr w:type="gramStart"/>
      <w:r w:rsidRPr="00CC6ADA">
        <w:rPr>
          <w:i/>
          <w:lang w:val="en-US"/>
        </w:rPr>
        <w:t>úgy</w:t>
      </w:r>
      <w:proofErr w:type="spellEnd"/>
      <w:proofErr w:type="gramEnd"/>
      <w:r w:rsidRPr="00CC6ADA">
        <w:rPr>
          <w:i/>
          <w:lang w:val="en-US"/>
        </w:rPr>
        <w:t xml:space="preserve"> </w:t>
      </w:r>
      <w:proofErr w:type="spellStart"/>
      <w:r w:rsidRPr="00CC6ADA">
        <w:rPr>
          <w:i/>
          <w:lang w:val="en-US"/>
        </w:rPr>
        <w:t>legyen</w:t>
      </w:r>
      <w:proofErr w:type="spellEnd"/>
      <w:r w:rsidRPr="00CC6ADA">
        <w:rPr>
          <w:i/>
          <w:lang w:val="en-US"/>
        </w:rPr>
        <w:t xml:space="preserve"> </w:t>
      </w:r>
      <w:proofErr w:type="spellStart"/>
      <w:r w:rsidRPr="00CC6ADA">
        <w:rPr>
          <w:i/>
          <w:lang w:val="en-US"/>
        </w:rPr>
        <w:t>készen</w:t>
      </w:r>
      <w:proofErr w:type="spellEnd"/>
      <w:r w:rsidRPr="00CC6ADA">
        <w:rPr>
          <w:i/>
          <w:lang w:val="en-US"/>
        </w:rPr>
        <w:t xml:space="preserve">, mint </w:t>
      </w:r>
      <w:proofErr w:type="spellStart"/>
      <w:r w:rsidRPr="00CC6ADA">
        <w:rPr>
          <w:i/>
          <w:lang w:val="en-US"/>
        </w:rPr>
        <w:t>hálaáldozat</w:t>
      </w:r>
      <w:proofErr w:type="spellEnd"/>
      <w:r w:rsidRPr="00CC6ADA">
        <w:rPr>
          <w:i/>
          <w:lang w:val="en-US"/>
        </w:rPr>
        <w:t xml:space="preserve">, </w:t>
      </w:r>
      <w:proofErr w:type="spellStart"/>
      <w:r w:rsidRPr="00CC6ADA">
        <w:rPr>
          <w:i/>
          <w:lang w:val="en-US"/>
        </w:rPr>
        <w:t>nem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pedig</w:t>
      </w:r>
      <w:proofErr w:type="spellEnd"/>
      <w:r>
        <w:rPr>
          <w:i/>
          <w:lang w:val="en-US"/>
        </w:rPr>
        <w:t xml:space="preserve"> mint </w:t>
      </w:r>
      <w:proofErr w:type="spellStart"/>
      <w:r>
        <w:rPr>
          <w:i/>
          <w:lang w:val="en-US"/>
        </w:rPr>
        <w:t>kényszerű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adomány</w:t>
      </w:r>
      <w:proofErr w:type="spellEnd"/>
      <w:r>
        <w:rPr>
          <w:i/>
          <w:lang w:val="en-US"/>
        </w:rPr>
        <w:t>."</w:t>
      </w:r>
    </w:p>
    <w:p w14:paraId="295D70AF" w14:textId="3A2A7DB4" w:rsidR="00757EBF" w:rsidRDefault="00CD16D0" w:rsidP="00CC6ADA">
      <w:pPr>
        <w:jc w:val="right"/>
        <w:rPr>
          <w:i/>
        </w:rPr>
      </w:pPr>
      <w:r>
        <w:rPr>
          <w:i/>
          <w:lang w:val="en-US"/>
        </w:rPr>
        <w:t xml:space="preserve">(2 </w:t>
      </w:r>
      <w:proofErr w:type="spellStart"/>
      <w:r>
        <w:rPr>
          <w:i/>
          <w:lang w:val="en-US"/>
        </w:rPr>
        <w:t>Kor</w:t>
      </w:r>
      <w:proofErr w:type="spellEnd"/>
      <w:r>
        <w:rPr>
          <w:i/>
          <w:lang w:val="en-US"/>
        </w:rPr>
        <w:t xml:space="preserve"> 9, 5</w:t>
      </w:r>
      <w:r w:rsidR="00CC6ADA" w:rsidRPr="00CC6ADA">
        <w:rPr>
          <w:i/>
          <w:lang w:val="en-US"/>
        </w:rPr>
        <w:t>)</w:t>
      </w:r>
    </w:p>
    <w:p w14:paraId="1724DC3E" w14:textId="4496CEE3" w:rsidR="00BB7FFB" w:rsidRPr="0002761B" w:rsidRDefault="006811B2" w:rsidP="00CD0325">
      <w:pPr>
        <w:jc w:val="center"/>
        <w:rPr>
          <w:b/>
          <w:u w:val="single"/>
        </w:rPr>
      </w:pPr>
      <w:r w:rsidRPr="0002761B">
        <w:rPr>
          <w:b/>
          <w:u w:val="single"/>
        </w:rPr>
        <w:t>Összefoglaló</w:t>
      </w:r>
    </w:p>
    <w:p w14:paraId="40DCAB04" w14:textId="3BD8635E" w:rsidR="00934B91" w:rsidRDefault="00934B91" w:rsidP="00BB7FFB">
      <w:pPr>
        <w:rPr>
          <w:b/>
        </w:rPr>
      </w:pPr>
      <w:proofErr w:type="spellStart"/>
      <w:r>
        <w:rPr>
          <w:b/>
        </w:rPr>
        <w:t>Megoldanó</w:t>
      </w:r>
      <w:proofErr w:type="spellEnd"/>
      <w:r>
        <w:rPr>
          <w:b/>
        </w:rPr>
        <w:t xml:space="preserve"> helyzet:</w:t>
      </w:r>
    </w:p>
    <w:p w14:paraId="430B6C76" w14:textId="10C12933" w:rsidR="00934B91" w:rsidRPr="0002761B" w:rsidRDefault="00934B91" w:rsidP="00D83D9C">
      <w:pPr>
        <w:spacing w:before="0"/>
        <w:ind w:left="1843" w:hanging="284"/>
        <w:rPr>
          <w:i/>
        </w:rPr>
      </w:pPr>
      <w:r w:rsidRPr="0002761B">
        <w:rPr>
          <w:i/>
        </w:rPr>
        <w:t>– e</w:t>
      </w:r>
      <w:r w:rsidR="006811B2" w:rsidRPr="0002761B">
        <w:rPr>
          <w:i/>
        </w:rPr>
        <w:t>gyházunk (hasonlóan a többi felekezethez) a hetven évvel ezelőtti jogfosztó és vagyon-eltulajdonító állami döntések utóhatásaként működésében ma jelentős mértékben függ a mindenkori állami dö</w:t>
      </w:r>
      <w:r w:rsidRPr="0002761B">
        <w:rPr>
          <w:i/>
        </w:rPr>
        <w:t>ntéshozók pénzügyi döntéseitől;</w:t>
      </w:r>
    </w:p>
    <w:p w14:paraId="10E255B1" w14:textId="340FC9BA" w:rsidR="00934B91" w:rsidRPr="0002761B" w:rsidRDefault="00934B91" w:rsidP="00D83D9C">
      <w:pPr>
        <w:spacing w:before="0"/>
        <w:ind w:left="1843" w:hanging="284"/>
        <w:rPr>
          <w:i/>
        </w:rPr>
      </w:pPr>
      <w:r w:rsidRPr="0002761B">
        <w:rPr>
          <w:i/>
        </w:rPr>
        <w:t>– emiatt gyengült a az áldozathozatali hitmegélés, a közösségi odatartozás, a döntéshozatali felelősség érvényesülése.</w:t>
      </w:r>
    </w:p>
    <w:p w14:paraId="16DE548D" w14:textId="0A1D6734" w:rsidR="00934B91" w:rsidRDefault="00934B91" w:rsidP="00D83D9C">
      <w:pPr>
        <w:spacing w:before="0"/>
        <w:ind w:left="1418" w:hanging="1418"/>
        <w:rPr>
          <w:b/>
        </w:rPr>
      </w:pPr>
      <w:r>
        <w:rPr>
          <w:b/>
        </w:rPr>
        <w:t xml:space="preserve">A </w:t>
      </w:r>
      <w:r w:rsidRPr="0002761B">
        <w:rPr>
          <w:b/>
        </w:rPr>
        <w:t>gazdasági</w:t>
      </w:r>
      <w:r>
        <w:rPr>
          <w:b/>
        </w:rPr>
        <w:t xml:space="preserve"> önfelelősség alkalmazásának alapvetései: </w:t>
      </w:r>
      <w:proofErr w:type="spellStart"/>
      <w:r w:rsidRPr="0002761B">
        <w:rPr>
          <w:i/>
        </w:rPr>
        <w:t>ekleziológiánk</w:t>
      </w:r>
      <w:proofErr w:type="spellEnd"/>
      <w:r w:rsidRPr="0002761B">
        <w:rPr>
          <w:i/>
        </w:rPr>
        <w:t>,</w:t>
      </w:r>
      <w:r w:rsidR="006811B2" w:rsidRPr="0002761B">
        <w:rPr>
          <w:i/>
        </w:rPr>
        <w:t xml:space="preserve"> lutheránus hagyományaink, polgári</w:t>
      </w:r>
      <w:r w:rsidR="005836FC">
        <w:rPr>
          <w:i/>
        </w:rPr>
        <w:t>-konzervatív</w:t>
      </w:r>
      <w:r w:rsidR="006811B2" w:rsidRPr="0002761B">
        <w:rPr>
          <w:i/>
        </w:rPr>
        <w:t xml:space="preserve"> egyházi kultúránk, </w:t>
      </w:r>
      <w:r w:rsidR="005836FC">
        <w:rPr>
          <w:i/>
        </w:rPr>
        <w:t xml:space="preserve">elköteleződésünk az alávetettek iránt, </w:t>
      </w:r>
      <w:r w:rsidR="006811B2" w:rsidRPr="0002761B">
        <w:rPr>
          <w:i/>
        </w:rPr>
        <w:t>értékelveink és szervezeti/</w:t>
      </w:r>
      <w:r w:rsidR="00422BCD" w:rsidRPr="0002761B">
        <w:rPr>
          <w:i/>
        </w:rPr>
        <w:t xml:space="preserve">véleménynyilvánítási </w:t>
      </w:r>
      <w:r w:rsidR="006811B2" w:rsidRPr="0002761B">
        <w:rPr>
          <w:i/>
        </w:rPr>
        <w:t>szabads</w:t>
      </w:r>
      <w:r w:rsidRPr="0002761B">
        <w:rPr>
          <w:i/>
        </w:rPr>
        <w:t>águnk megőrzés</w:t>
      </w:r>
      <w:r w:rsidR="005836FC">
        <w:rPr>
          <w:i/>
        </w:rPr>
        <w:t>e</w:t>
      </w:r>
      <w:r w:rsidR="0002761B" w:rsidRPr="0002761B">
        <w:rPr>
          <w:i/>
        </w:rPr>
        <w:t>.</w:t>
      </w:r>
    </w:p>
    <w:p w14:paraId="07A23A77" w14:textId="0F0D829A" w:rsidR="00934B91" w:rsidRDefault="00934B91" w:rsidP="00BB7FFB">
      <w:pPr>
        <w:rPr>
          <w:b/>
        </w:rPr>
      </w:pPr>
      <w:r>
        <w:rPr>
          <w:b/>
        </w:rPr>
        <w:t>Elvárt szervezeti eredmények:</w:t>
      </w:r>
    </w:p>
    <w:p w14:paraId="5284D51B" w14:textId="22BFA7BF" w:rsidR="00934B91" w:rsidRPr="0002761B" w:rsidRDefault="00934B91" w:rsidP="00D83D9C">
      <w:pPr>
        <w:spacing w:before="0"/>
        <w:ind w:left="1843" w:hanging="284"/>
        <w:rPr>
          <w:i/>
        </w:rPr>
      </w:pPr>
      <w:r w:rsidRPr="0002761B">
        <w:rPr>
          <w:i/>
        </w:rPr>
        <w:t>– biztosítja működésünk fenntarthatóságát:</w:t>
      </w:r>
    </w:p>
    <w:p w14:paraId="1F867B99" w14:textId="77777777" w:rsidR="00934B91" w:rsidRPr="0002761B" w:rsidRDefault="00934B91" w:rsidP="00D83D9C">
      <w:pPr>
        <w:spacing w:before="0"/>
        <w:ind w:left="1843" w:hanging="284"/>
        <w:rPr>
          <w:i/>
        </w:rPr>
      </w:pPr>
      <w:r w:rsidRPr="0002761B">
        <w:rPr>
          <w:i/>
        </w:rPr>
        <w:t xml:space="preserve">– </w:t>
      </w:r>
      <w:r w:rsidR="00422BCD" w:rsidRPr="0002761B">
        <w:rPr>
          <w:i/>
        </w:rPr>
        <w:t xml:space="preserve">erősíti </w:t>
      </w:r>
      <w:r w:rsidRPr="0002761B">
        <w:rPr>
          <w:i/>
        </w:rPr>
        <w:t xml:space="preserve">szervezeti-gazdasági </w:t>
      </w:r>
      <w:r w:rsidR="00422BCD" w:rsidRPr="0002761B">
        <w:rPr>
          <w:i/>
        </w:rPr>
        <w:t>döntéseink felelősség</w:t>
      </w:r>
      <w:r w:rsidRPr="0002761B">
        <w:rPr>
          <w:i/>
        </w:rPr>
        <w:t>teljességét</w:t>
      </w:r>
    </w:p>
    <w:p w14:paraId="26AAA749" w14:textId="77777777" w:rsidR="00934B91" w:rsidRDefault="00934B91" w:rsidP="0002761B">
      <w:pPr>
        <w:ind w:left="1418" w:hanging="1418"/>
        <w:rPr>
          <w:b/>
        </w:rPr>
      </w:pPr>
      <w:r>
        <w:rPr>
          <w:b/>
        </w:rPr>
        <w:t xml:space="preserve">Missziós hatás: </w:t>
      </w:r>
      <w:r w:rsidR="00422BCD" w:rsidRPr="0002761B">
        <w:rPr>
          <w:i/>
        </w:rPr>
        <w:t>megszólító hitelességünk erősítése</w:t>
      </w:r>
      <w:r w:rsidRPr="0002761B">
        <w:rPr>
          <w:i/>
        </w:rPr>
        <w:t xml:space="preserve"> és Krisztushoz tartozásunk „lefordítása” a mai kor egyik legszélesebb körben ismert nyelvére, a pénzre.</w:t>
      </w:r>
    </w:p>
    <w:p w14:paraId="15F10F4F" w14:textId="77777777" w:rsidR="00934B91" w:rsidRDefault="00934B91" w:rsidP="0002761B">
      <w:pPr>
        <w:ind w:left="1418" w:hanging="1418"/>
        <w:rPr>
          <w:b/>
        </w:rPr>
      </w:pPr>
      <w:r>
        <w:rPr>
          <w:b/>
        </w:rPr>
        <w:t xml:space="preserve">A program tartalma: </w:t>
      </w:r>
      <w:r w:rsidR="00422BCD" w:rsidRPr="0002761B">
        <w:rPr>
          <w:i/>
        </w:rPr>
        <w:t>ne</w:t>
      </w:r>
      <w:r w:rsidRPr="0002761B">
        <w:rPr>
          <w:i/>
        </w:rPr>
        <w:t>m egyszeri adminisztratív lépés</w:t>
      </w:r>
      <w:r w:rsidR="00422BCD" w:rsidRPr="0002761B">
        <w:rPr>
          <w:i/>
        </w:rPr>
        <w:t xml:space="preserve">, hanem folyamatos, teológiai és szervezeti tematikájú kommunikációt az önfelelősségről és az </w:t>
      </w:r>
      <w:proofErr w:type="spellStart"/>
      <w:r w:rsidR="00422BCD" w:rsidRPr="0002761B">
        <w:rPr>
          <w:i/>
        </w:rPr>
        <w:t>of</w:t>
      </w:r>
      <w:r w:rsidR="00CD0325" w:rsidRPr="0002761B">
        <w:rPr>
          <w:i/>
        </w:rPr>
        <w:t>f</w:t>
      </w:r>
      <w:r w:rsidR="00422BCD" w:rsidRPr="0002761B">
        <w:rPr>
          <w:i/>
        </w:rPr>
        <w:t>ertórium</w:t>
      </w:r>
      <w:proofErr w:type="spellEnd"/>
      <w:r w:rsidR="00422BCD" w:rsidRPr="0002761B">
        <w:rPr>
          <w:i/>
        </w:rPr>
        <w:t xml:space="preserve"> jelentés</w:t>
      </w:r>
      <w:r w:rsidR="00CD0325" w:rsidRPr="0002761B">
        <w:rPr>
          <w:i/>
        </w:rPr>
        <w:t>éről, jelentőségéről.</w:t>
      </w:r>
    </w:p>
    <w:p w14:paraId="5D025B04" w14:textId="77777777" w:rsidR="00934B91" w:rsidRDefault="00934B91" w:rsidP="00BB7FFB">
      <w:pPr>
        <w:rPr>
          <w:b/>
        </w:rPr>
      </w:pPr>
      <w:r>
        <w:rPr>
          <w:b/>
        </w:rPr>
        <w:t>Közvetlen célunk:</w:t>
      </w:r>
    </w:p>
    <w:p w14:paraId="36A5465E" w14:textId="1F4F7887" w:rsidR="00934B91" w:rsidRPr="0002761B" w:rsidRDefault="00934B91" w:rsidP="00D83D9C">
      <w:pPr>
        <w:spacing w:before="0"/>
        <w:ind w:left="1843" w:hanging="284"/>
        <w:rPr>
          <w:i/>
        </w:rPr>
      </w:pPr>
      <w:r w:rsidRPr="0002761B">
        <w:rPr>
          <w:i/>
        </w:rPr>
        <w:t xml:space="preserve">– </w:t>
      </w:r>
      <w:r w:rsidR="00CD0325" w:rsidRPr="0002761B">
        <w:rPr>
          <w:i/>
        </w:rPr>
        <w:t>ésszerű időtávban (</w:t>
      </w:r>
      <w:r w:rsidRPr="0002761B">
        <w:rPr>
          <w:i/>
        </w:rPr>
        <w:t>a zsinati ciklus végéig</w:t>
      </w:r>
      <w:r w:rsidR="00CD0325" w:rsidRPr="0002761B">
        <w:rPr>
          <w:i/>
        </w:rPr>
        <w:t xml:space="preserve">) </w:t>
      </w:r>
      <w:r w:rsidRPr="0002761B">
        <w:rPr>
          <w:i/>
        </w:rPr>
        <w:t>az egyházfenntartói járulék érje el átlagosan a</w:t>
      </w:r>
      <w:r w:rsidR="00D83D9C">
        <w:rPr>
          <w:i/>
        </w:rPr>
        <w:t xml:space="preserve"> járulékfizetők</w:t>
      </w:r>
      <w:r w:rsidRPr="0002761B">
        <w:rPr>
          <w:i/>
        </w:rPr>
        <w:t xml:space="preserve"> jövedelm</w:t>
      </w:r>
      <w:r w:rsidR="00D83D9C">
        <w:rPr>
          <w:i/>
        </w:rPr>
        <w:t>éne</w:t>
      </w:r>
      <w:r w:rsidRPr="0002761B">
        <w:rPr>
          <w:i/>
        </w:rPr>
        <w:t>k 1-2 százalékát</w:t>
      </w:r>
    </w:p>
    <w:p w14:paraId="549C37F6" w14:textId="77F73B43" w:rsidR="0002761B" w:rsidRPr="0002761B" w:rsidRDefault="00934B91" w:rsidP="00D83D9C">
      <w:pPr>
        <w:spacing w:before="0"/>
        <w:ind w:left="1843" w:hanging="284"/>
        <w:rPr>
          <w:i/>
        </w:rPr>
      </w:pPr>
      <w:r w:rsidRPr="0002761B">
        <w:rPr>
          <w:i/>
        </w:rPr>
        <w:t>– az egyháztagok között a járulékfi</w:t>
      </w:r>
      <w:r w:rsidR="0002761B" w:rsidRPr="0002761B">
        <w:rPr>
          <w:i/>
        </w:rPr>
        <w:t xml:space="preserve">zetők aránya érje el </w:t>
      </w:r>
      <w:r w:rsidR="005836FC">
        <w:rPr>
          <w:i/>
        </w:rPr>
        <w:t xml:space="preserve">újra </w:t>
      </w:r>
      <w:r w:rsidR="0002761B" w:rsidRPr="0002761B">
        <w:rPr>
          <w:i/>
        </w:rPr>
        <w:t xml:space="preserve">a </w:t>
      </w:r>
      <w:r w:rsidR="005836FC">
        <w:rPr>
          <w:i/>
        </w:rPr>
        <w:t>6</w:t>
      </w:r>
      <w:r w:rsidR="0002761B" w:rsidRPr="0002761B">
        <w:rPr>
          <w:i/>
        </w:rPr>
        <w:t>0%-ot.</w:t>
      </w:r>
    </w:p>
    <w:p w14:paraId="688BB55A" w14:textId="1BAEA08E" w:rsidR="006811B2" w:rsidRPr="00CD0325" w:rsidRDefault="0002761B" w:rsidP="0002761B">
      <w:pPr>
        <w:ind w:left="1418" w:hanging="1418"/>
        <w:rPr>
          <w:b/>
        </w:rPr>
      </w:pPr>
      <w:r>
        <w:rPr>
          <w:b/>
        </w:rPr>
        <w:t xml:space="preserve">Kapcsolódás további fejlesztésekkel: </w:t>
      </w:r>
      <w:r w:rsidRPr="0002761B">
        <w:rPr>
          <w:i/>
        </w:rPr>
        <w:t>a</w:t>
      </w:r>
      <w:r w:rsidR="00CD0325" w:rsidRPr="0002761B">
        <w:rPr>
          <w:i/>
        </w:rPr>
        <w:t>mennyiben elfogadjuk az elv érvényesülésének szükségességét, az a gyülekezeti támogatásokban, az életpálya-modellekben, a beruházási és pályázati projektekben</w:t>
      </w:r>
      <w:r w:rsidR="006E1C48">
        <w:rPr>
          <w:i/>
        </w:rPr>
        <w:t xml:space="preserve"> és a kormánnyal kötendő megállapodás szerkezetében</w:t>
      </w:r>
      <w:r w:rsidR="00CD0325" w:rsidRPr="0002761B">
        <w:rPr>
          <w:i/>
        </w:rPr>
        <w:t xml:space="preserve"> egyaránt érvényesül majd.</w:t>
      </w:r>
    </w:p>
    <w:p w14:paraId="298C79B3" w14:textId="53D05DCD" w:rsidR="00997241" w:rsidRPr="00997241" w:rsidRDefault="00997241" w:rsidP="00997241">
      <w:pPr>
        <w:jc w:val="center"/>
        <w:rPr>
          <w:b/>
          <w:u w:val="single"/>
        </w:rPr>
      </w:pPr>
      <w:r w:rsidRPr="00997241">
        <w:rPr>
          <w:b/>
          <w:u w:val="single"/>
        </w:rPr>
        <w:lastRenderedPageBreak/>
        <w:t>Hitvallásos bevezetés</w:t>
      </w:r>
    </w:p>
    <w:p w14:paraId="4EB24613" w14:textId="0D259369" w:rsidR="00BE2AD0" w:rsidRDefault="00B275C6" w:rsidP="0070092D">
      <w:r>
        <w:t xml:space="preserve">Amikor Jézus egy farizeusi provokációra kézbe vett egy pénzérmét, nem eldobta, mint valami bűnös dolgot, hanem a képmutatókkal szemben értelmezte </w:t>
      </w:r>
      <w:r w:rsidR="00252EE5">
        <w:t>annak</w:t>
      </w:r>
      <w:r>
        <w:t xml:space="preserve"> jelrendszerét (Márk</w:t>
      </w:r>
      <w:r w:rsidR="00CD16D0">
        <w:t xml:space="preserve"> 12, 15-17)</w:t>
      </w:r>
      <w:r>
        <w:t xml:space="preserve">. </w:t>
      </w:r>
      <w:r w:rsidR="00BE2AD0">
        <w:t>Az első keresztény közösségek sem tehetetlen henyélésre való felhívásként értelmezték a „Ne aggodalmaskodjatok” (Máté 6, 25-32) tanítást, hanem egy másfajta, a krisztusi orientációt középpontba helyező életmód és gazdálkodás alapjaként. Luther gazdaságetikájának egyházszervezeti alkalmazása is a saját erőből való evilági boldogulás és a kegyelem mindebben való megjelenését hangsúlyozza.</w:t>
      </w:r>
    </w:p>
    <w:p w14:paraId="5419432A" w14:textId="45497BAE" w:rsidR="00BE2AD0" w:rsidRDefault="00BE2AD0" w:rsidP="0070092D">
      <w:r>
        <w:t xml:space="preserve">A világegyházban </w:t>
      </w:r>
      <w:r w:rsidR="00EB2039">
        <w:t>széles körben zajlik a</w:t>
      </w:r>
      <w:r>
        <w:t xml:space="preserve"> gondol</w:t>
      </w:r>
      <w:r w:rsidR="00EB2039">
        <w:t xml:space="preserve">kodás az </w:t>
      </w:r>
      <w:proofErr w:type="spellStart"/>
      <w:r w:rsidR="00EB2039">
        <w:t>egyházfinanszírozásról</w:t>
      </w:r>
      <w:proofErr w:type="spellEnd"/>
      <w:r w:rsidR="00EB2039">
        <w:t xml:space="preserve">. Ezt </w:t>
      </w:r>
      <w:r w:rsidR="00997241">
        <w:t xml:space="preserve">közvetlenül </w:t>
      </w:r>
      <w:r w:rsidR="00EB2039">
        <w:t xml:space="preserve">ösztönzi </w:t>
      </w:r>
      <w:r>
        <w:t>a finanszírozó hívek számának és adakozó</w:t>
      </w:r>
      <w:r w:rsidR="00EB2039">
        <w:t xml:space="preserve"> </w:t>
      </w:r>
      <w:r>
        <w:t>kedvének csökkenése</w:t>
      </w:r>
      <w:r w:rsidR="00997241">
        <w:t xml:space="preserve">. Ugyanakkor </w:t>
      </w:r>
      <w:r w:rsidR="00A5449B">
        <w:t>nem pusztán és nem elsősorban pénzügyi-praktikus kérdés</w:t>
      </w:r>
      <w:r w:rsidR="00997241">
        <w:t>ről van szó</w:t>
      </w:r>
      <w:r w:rsidR="00A5449B">
        <w:t>, hanem a közösségben való hitmegélésünk ügyeként tekintendő helyzet</w:t>
      </w:r>
      <w:r w:rsidR="00997241">
        <w:t>ről</w:t>
      </w:r>
      <w:r w:rsidR="00A5449B">
        <w:t xml:space="preserve">. Különösen igaz ez a </w:t>
      </w:r>
      <w:proofErr w:type="spellStart"/>
      <w:r w:rsidR="00A5449B">
        <w:t>sokévtizedes</w:t>
      </w:r>
      <w:proofErr w:type="spellEnd"/>
      <w:r w:rsidR="00A5449B">
        <w:t xml:space="preserve"> rafinált elnyomatást átélt kelet-európai egyházak</w:t>
      </w:r>
      <w:r w:rsidR="00997241">
        <w:t>ban</w:t>
      </w:r>
      <w:r w:rsidR="00A5449B">
        <w:t>: hiszen itt az üldöztetést és korlátozást a politikai hatalom másik oldalról kegyből történő intézményfenntartással kiegészítve építette le az öngondoskodás gyakorlatát.</w:t>
      </w:r>
    </w:p>
    <w:p w14:paraId="2B658451" w14:textId="2381C06A" w:rsidR="00A5449B" w:rsidRDefault="00A5449B" w:rsidP="0070092D">
      <w:r>
        <w:t xml:space="preserve">Az elmúlt három évtized zavaros viszonyai sem hoztak ebben visszaépülést, tovább tompultak a megkülönböztetési képességeink: sokan még az egyházban sem értik jól a pénzt, mint jelrendszert. Így </w:t>
      </w:r>
      <w:r w:rsidR="00997241">
        <w:t>tűnhet úgy</w:t>
      </w:r>
      <w:r>
        <w:t>, hogy az egyházfenntartásban is sokkal több a pályázatokkal, kiemelt támogatásokkal elért milliárd a hívek önkéntes felajánlásainak egy nagyságrenddel kisebb számokkal leírható önkéntes adako</w:t>
      </w:r>
      <w:r w:rsidR="00D912AA">
        <w:t xml:space="preserve">zásához képest. Pedig az utóbbiban megnyilvánuló bizalom és áldozat sokkal értékadóbb és értékállóbb árfolyamon válható be, </w:t>
      </w:r>
      <w:r>
        <w:t>a</w:t>
      </w:r>
      <w:r w:rsidR="00D912AA">
        <w:t>kárcsak a szegény asszony két fillérje. (Lukács 21, 1-6)</w:t>
      </w:r>
    </w:p>
    <w:p w14:paraId="09CA9E5A" w14:textId="77777777" w:rsidR="00EB2039" w:rsidRDefault="00D912AA" w:rsidP="0070092D">
      <w:r>
        <w:t>Egyházi és gyülekezeti gazdasági önállósodásunk szükségességének felvetése tehát úgy szól a mindennapi működésünk finanszírozási kérdéseiről, hogy kizárólag hitmegél</w:t>
      </w:r>
      <w:r w:rsidR="00EB2039">
        <w:t>ési értelmezési keretben mozog:</w:t>
      </w:r>
    </w:p>
    <w:p w14:paraId="428ABBD6" w14:textId="77777777" w:rsidR="00EB2039" w:rsidRDefault="00EB2039" w:rsidP="00EB2039">
      <w:pPr>
        <w:ind w:left="426" w:hanging="284"/>
      </w:pPr>
      <w:r>
        <w:t xml:space="preserve">– </w:t>
      </w:r>
      <w:r w:rsidR="00D912AA">
        <w:t>a pénzt, m</w:t>
      </w:r>
      <w:r>
        <w:t>int jelet igyekszik jól érteni:</w:t>
      </w:r>
    </w:p>
    <w:p w14:paraId="432B131E" w14:textId="77777777" w:rsidR="00EB2039" w:rsidRDefault="00EB2039" w:rsidP="00EB2039">
      <w:pPr>
        <w:ind w:left="426" w:hanging="284"/>
      </w:pPr>
      <w:r>
        <w:t xml:space="preserve">– </w:t>
      </w:r>
      <w:r w:rsidR="00D912AA">
        <w:t>a lutheri egyházképh</w:t>
      </w:r>
      <w:r>
        <w:t>ez való ragaszkodást fejezi ki:</w:t>
      </w:r>
    </w:p>
    <w:p w14:paraId="7FC81224" w14:textId="6358D606" w:rsidR="00EB2039" w:rsidRDefault="00EB2039" w:rsidP="00EB2039">
      <w:pPr>
        <w:ind w:left="426" w:hanging="284"/>
      </w:pPr>
      <w:r>
        <w:t xml:space="preserve">– </w:t>
      </w:r>
      <w:r w:rsidR="00D912AA">
        <w:t xml:space="preserve">a nemzetközi és hazai </w:t>
      </w:r>
      <w:proofErr w:type="spellStart"/>
      <w:r w:rsidR="00D912AA">
        <w:t>teológiai-ekleziológiai</w:t>
      </w:r>
      <w:proofErr w:type="spellEnd"/>
      <w:r w:rsidR="00D912AA">
        <w:t xml:space="preserve"> irodalomban kibontott </w:t>
      </w:r>
      <w:r>
        <w:t>megfontolásokat alkalmazza;</w:t>
      </w:r>
    </w:p>
    <w:p w14:paraId="3CC87AC7" w14:textId="77777777" w:rsidR="00EB2039" w:rsidRDefault="00EB2039" w:rsidP="00EB2039">
      <w:pPr>
        <w:ind w:left="426" w:hanging="284"/>
      </w:pPr>
      <w:r>
        <w:t>– az egyházi-gyülekezeti közösséggel szemben a gondos, felelős, mértékletes, korrupciómentes,  a szegények és gazdagok közti társadalmi integrációt hordozó szervezeti normákat hitelvi alapon tartja érvényesítendőnek;</w:t>
      </w:r>
    </w:p>
    <w:p w14:paraId="1C23F09C" w14:textId="116326B7" w:rsidR="00D912AA" w:rsidRDefault="00EB2039" w:rsidP="00EB2039">
      <w:pPr>
        <w:ind w:left="426" w:hanging="284"/>
      </w:pPr>
      <w:r>
        <w:t>– </w:t>
      </w:r>
      <w:r w:rsidR="00D912AA">
        <w:t xml:space="preserve">a </w:t>
      </w:r>
      <w:proofErr w:type="spellStart"/>
      <w:r w:rsidR="00D912AA">
        <w:t>pos</w:t>
      </w:r>
      <w:r>
        <w:t>zt-konstantinuszi</w:t>
      </w:r>
      <w:proofErr w:type="spellEnd"/>
      <w:r>
        <w:t xml:space="preserve"> egyházi kort nem nehézségként, hanem lehetőségként, esélyként tekinti.</w:t>
      </w:r>
    </w:p>
    <w:p w14:paraId="0A73EBA6" w14:textId="1FC7E1C7" w:rsidR="00D912AA" w:rsidRDefault="00997241" w:rsidP="0070092D">
      <w:r>
        <w:t>Vagyis</w:t>
      </w:r>
      <w:r w:rsidR="00EB2039">
        <w:t xml:space="preserve"> a Krisztusban meglévő egységünk és </w:t>
      </w:r>
      <w:r>
        <w:t>követése</w:t>
      </w:r>
      <w:r w:rsidR="00EB2039">
        <w:t xml:space="preserve"> </w:t>
      </w:r>
      <w:r>
        <w:t>„</w:t>
      </w:r>
      <w:proofErr w:type="spellStart"/>
      <w:r w:rsidRPr="00997241">
        <w:rPr>
          <w:i/>
        </w:rPr>
        <w:t>Solus</w:t>
      </w:r>
      <w:proofErr w:type="spellEnd"/>
      <w:r w:rsidRPr="00997241">
        <w:rPr>
          <w:i/>
        </w:rPr>
        <w:t xml:space="preserve"> </w:t>
      </w:r>
      <w:proofErr w:type="spellStart"/>
      <w:r w:rsidRPr="00997241">
        <w:rPr>
          <w:i/>
        </w:rPr>
        <w:t>Christus</w:t>
      </w:r>
      <w:proofErr w:type="spellEnd"/>
      <w:r>
        <w:t xml:space="preserve">” közösségi megvalósulásának </w:t>
      </w:r>
      <w:r w:rsidR="00EB2039">
        <w:t>örömhírét adja tovább, azaz evangéliumi.</w:t>
      </w:r>
    </w:p>
    <w:p w14:paraId="4B6CE969" w14:textId="77777777" w:rsidR="0070092D" w:rsidRDefault="0070092D">
      <w:pPr>
        <w:rPr>
          <w:b/>
          <w:u w:val="single"/>
        </w:rPr>
      </w:pPr>
    </w:p>
    <w:p w14:paraId="2B62F206" w14:textId="77777777" w:rsidR="0026308E" w:rsidRPr="00F6313B" w:rsidRDefault="000B765D" w:rsidP="00EB2039">
      <w:pPr>
        <w:pageBreakBefore/>
        <w:rPr>
          <w:b/>
          <w:u w:val="single"/>
        </w:rPr>
      </w:pPr>
      <w:r>
        <w:rPr>
          <w:b/>
          <w:u w:val="single"/>
        </w:rPr>
        <w:lastRenderedPageBreak/>
        <w:t xml:space="preserve">I. </w:t>
      </w:r>
      <w:r w:rsidR="0026308E" w:rsidRPr="00F6313B">
        <w:rPr>
          <w:b/>
          <w:u w:val="single"/>
        </w:rPr>
        <w:t>Bevezetés:</w:t>
      </w:r>
    </w:p>
    <w:p w14:paraId="0DEBACA5" w14:textId="17A1AE38" w:rsidR="00EF03FA" w:rsidRDefault="000B765D" w:rsidP="0076703F">
      <w:pPr>
        <w:ind w:left="284" w:hanging="284"/>
      </w:pPr>
      <w:r>
        <w:t xml:space="preserve">1. </w:t>
      </w:r>
      <w:r w:rsidR="0026308E">
        <w:t xml:space="preserve">Politikai döntés fosztotta meg törvénytelen módon a magyarországi egyházakat tulajdonuk és intézményeik döntő részétől a negyvenes évek végén. Az ezt követő négy évtizedben az állam biztosította az egyházak működési feltételeinek egy részét, mintegy adományként, jelentős </w:t>
      </w:r>
      <w:r w:rsidR="00EF03FA">
        <w:t xml:space="preserve">politikai </w:t>
      </w:r>
      <w:r w:rsidR="002A02A9">
        <w:t xml:space="preserve">kényszert érvényesítve és </w:t>
      </w:r>
      <w:r w:rsidR="0026308E">
        <w:t>befolyást követelve az egyházi élet fölött. Immár közel harminc éve, hogy véget ért ez a jogfosztott és elfogadhatatlan ál</w:t>
      </w:r>
      <w:r w:rsidR="00EF03FA">
        <w:t>lapot.</w:t>
      </w:r>
    </w:p>
    <w:p w14:paraId="254AEEF7" w14:textId="77777777" w:rsidR="0026308E" w:rsidRDefault="000B765D" w:rsidP="0076703F">
      <w:pPr>
        <w:ind w:left="284" w:hanging="284"/>
      </w:pPr>
      <w:r>
        <w:t xml:space="preserve">2. </w:t>
      </w:r>
      <w:r w:rsidR="0026308E">
        <w:t xml:space="preserve">A rendszerváltozás során </w:t>
      </w:r>
      <w:r w:rsidR="0026308E" w:rsidRPr="00D83D9C">
        <w:rPr>
          <w:b/>
          <w:i/>
        </w:rPr>
        <w:t xml:space="preserve">nem került sor </w:t>
      </w:r>
      <w:r w:rsidR="0041159F" w:rsidRPr="00D83D9C">
        <w:rPr>
          <w:b/>
          <w:i/>
        </w:rPr>
        <w:t xml:space="preserve">meghatározó mértékű </w:t>
      </w:r>
      <w:proofErr w:type="spellStart"/>
      <w:r w:rsidR="0026308E" w:rsidRPr="00D83D9C">
        <w:rPr>
          <w:b/>
          <w:i/>
        </w:rPr>
        <w:t>restitúcióra</w:t>
      </w:r>
      <w:proofErr w:type="spellEnd"/>
      <w:r w:rsidR="0041159F">
        <w:t>, amit az akkori egyházvezetések kénytelenek voltak tudomásul venni. Cserébe a mindenkori kormányok, különböző mértékben és megoldásokkal, eseti döntésekkel vagy intézményesített keretek között (például a Vatikáni Szerződés és annak kiterjesztése, az 1%-os támogatási rendszer működtetése, diakóniai illetve oktatási intézmények vissza- illetve átadása stb.) járultak hozzá az egyházak működésének finanszírozásához.</w:t>
      </w:r>
    </w:p>
    <w:p w14:paraId="46BE35F9" w14:textId="46CF98CD" w:rsidR="0041159F" w:rsidRDefault="000B765D" w:rsidP="0076703F">
      <w:pPr>
        <w:ind w:left="284" w:hanging="284"/>
      </w:pPr>
      <w:r>
        <w:t xml:space="preserve">3. </w:t>
      </w:r>
      <w:r w:rsidR="0041159F">
        <w:t xml:space="preserve">Az állami részvétel ebben nem csupán a történeti jogon indokolt és helyénvaló, bár az is fontos tényező. Ugyanis az ideológiai-szervezeti elnyomás évtizedei nyomán éppen annak a rétegnek az elidegenítése zajlott hatásosan, amely képes volna saját tehervállalással nagyobb mértékben közreműködni a gyülekezetek fenntartásában. Ezen túl, </w:t>
      </w:r>
      <w:r w:rsidR="00F6313B">
        <w:t>szintén</w:t>
      </w:r>
      <w:r w:rsidR="0041159F">
        <w:t xml:space="preserve"> </w:t>
      </w:r>
      <w:r w:rsidR="00293170">
        <w:t xml:space="preserve">indokolja az adóbevételek egyházi életet támogató felhasználását, hogy </w:t>
      </w:r>
      <w:r w:rsidR="0041159F">
        <w:t xml:space="preserve"> az egyházak még a szekularizáció </w:t>
      </w:r>
      <w:r w:rsidR="00F6313B">
        <w:t>magy</w:t>
      </w:r>
      <w:r w:rsidR="00293170">
        <w:t xml:space="preserve">arországi </w:t>
      </w:r>
      <w:r w:rsidR="00F6313B">
        <w:t xml:space="preserve">állapotában is </w:t>
      </w:r>
      <w:r w:rsidR="00F6313B" w:rsidRPr="00D83D9C">
        <w:rPr>
          <w:b/>
          <w:i/>
        </w:rPr>
        <w:t>a legtöbb embert elérő közösségi szerveződés</w:t>
      </w:r>
      <w:r w:rsidR="00EF03FA" w:rsidRPr="00D83D9C">
        <w:rPr>
          <w:b/>
          <w:i/>
        </w:rPr>
        <w:t>ek</w:t>
      </w:r>
      <w:r w:rsidR="00F6313B">
        <w:t xml:space="preserve">. Ráadásul olyan közösség, amely kifejezetten </w:t>
      </w:r>
      <w:r w:rsidR="00F6313B" w:rsidRPr="00D83D9C">
        <w:rPr>
          <w:b/>
          <w:i/>
        </w:rPr>
        <w:t>konstruktív, erősítést és támogatást ad, felelősségre ösztönöz</w:t>
      </w:r>
      <w:r w:rsidR="00F6313B">
        <w:t xml:space="preserve">. Teljes mértékben indokolt tehát, hogy a magukat egyházhoz tartozónak valló adófizetők által </w:t>
      </w:r>
      <w:r w:rsidR="00EF03FA">
        <w:t xml:space="preserve">is </w:t>
      </w:r>
      <w:r w:rsidR="00F6313B">
        <w:t>képződött forrásokból részesüljene</w:t>
      </w:r>
      <w:r w:rsidR="00EF03FA">
        <w:t>k az egyházak</w:t>
      </w:r>
      <w:r w:rsidR="00F6313B">
        <w:t>.</w:t>
      </w:r>
    </w:p>
    <w:p w14:paraId="0A296CCC" w14:textId="31116A1F" w:rsidR="003760F6" w:rsidRDefault="000B765D" w:rsidP="0076703F">
      <w:pPr>
        <w:ind w:left="284" w:hanging="284"/>
      </w:pPr>
      <w:r>
        <w:t xml:space="preserve">4. </w:t>
      </w:r>
      <w:r w:rsidR="00F6313B">
        <w:t xml:space="preserve">Mindazonáltal </w:t>
      </w:r>
      <w:r w:rsidR="00F6313B" w:rsidRPr="00D83D9C">
        <w:rPr>
          <w:b/>
          <w:i/>
        </w:rPr>
        <w:t xml:space="preserve">mind </w:t>
      </w:r>
      <w:proofErr w:type="spellStart"/>
      <w:r w:rsidR="0008391D" w:rsidRPr="00D83D9C">
        <w:rPr>
          <w:b/>
          <w:i/>
        </w:rPr>
        <w:t>ekleziológiai</w:t>
      </w:r>
      <w:proofErr w:type="spellEnd"/>
      <w:r w:rsidR="00F6313B" w:rsidRPr="00D83D9C">
        <w:rPr>
          <w:b/>
          <w:i/>
        </w:rPr>
        <w:t>, mind gyakorlati szempontból</w:t>
      </w:r>
      <w:r w:rsidR="00F6313B">
        <w:t xml:space="preserve"> </w:t>
      </w:r>
      <w:r w:rsidR="009C237A">
        <w:t>szükséges</w:t>
      </w:r>
      <w:r w:rsidR="00F6313B">
        <w:t xml:space="preserve"> volt </w:t>
      </w:r>
      <w:r w:rsidR="00EF03FA">
        <w:t>a</w:t>
      </w:r>
      <w:r w:rsidR="009C237A">
        <w:t xml:space="preserve"> Magyarországi Evangélikus Egyház Zsinatának kezdeményezése, hogy Egyházunk </w:t>
      </w:r>
      <w:r w:rsidR="00AC120A">
        <w:t xml:space="preserve">gyülekezeti és országos szinten egyaránt </w:t>
      </w:r>
      <w:r w:rsidR="009C237A">
        <w:t>induljon el a gazdasági önállósodás útján.</w:t>
      </w:r>
      <w:r w:rsidR="00AC120A">
        <w:t xml:space="preserve"> Ez  ugyanis </w:t>
      </w:r>
      <w:r w:rsidR="003760F6" w:rsidRPr="00D83D9C">
        <w:rPr>
          <w:b/>
          <w:i/>
        </w:rPr>
        <w:t xml:space="preserve">egyszerre teológiai, missziós és egyházpolitikai </w:t>
      </w:r>
      <w:r w:rsidRPr="00D83D9C">
        <w:rPr>
          <w:b/>
          <w:i/>
        </w:rPr>
        <w:t>ügy</w:t>
      </w:r>
      <w:r w:rsidR="00AC120A">
        <w:t>.</w:t>
      </w:r>
    </w:p>
    <w:p w14:paraId="723F91B1" w14:textId="0420E96D" w:rsidR="00F6313B" w:rsidRDefault="000B765D" w:rsidP="00D83D9C">
      <w:pPr>
        <w:tabs>
          <w:tab w:val="clear" w:pos="567"/>
        </w:tabs>
        <w:ind w:left="567" w:hanging="283"/>
      </w:pPr>
      <w:r>
        <w:t xml:space="preserve">a; </w:t>
      </w:r>
      <w:r w:rsidR="00F6313B">
        <w:t xml:space="preserve">A gazdasági önállósodás programjának egyik legfontosabb célja kifejezetten </w:t>
      </w:r>
      <w:r>
        <w:t>lutheránus</w:t>
      </w:r>
      <w:r w:rsidR="00F6313B">
        <w:t xml:space="preserve"> teológiai</w:t>
      </w:r>
      <w:r w:rsidR="0008391D">
        <w:t xml:space="preserve"> – </w:t>
      </w:r>
      <w:proofErr w:type="spellStart"/>
      <w:r w:rsidR="0008391D">
        <w:t>ekleziológiai</w:t>
      </w:r>
      <w:proofErr w:type="spellEnd"/>
      <w:r w:rsidR="00F6313B">
        <w:t xml:space="preserve"> meg</w:t>
      </w:r>
      <w:r>
        <w:t>alapozású</w:t>
      </w:r>
      <w:r w:rsidR="00F6313B">
        <w:t>: a gyülekezeti ö</w:t>
      </w:r>
      <w:r>
        <w:t xml:space="preserve">nfelelősség tudatának erősítése, a gyülekezet, mint </w:t>
      </w:r>
      <w:r w:rsidR="003D3228">
        <w:t>a hívek közös önkéntes munkájából és áldozatvállalásából működő hitéleti közösség definiáltsága.</w:t>
      </w:r>
    </w:p>
    <w:p w14:paraId="0BC52D5D" w14:textId="77777777" w:rsidR="003D3228" w:rsidRDefault="003D3228" w:rsidP="00D83D9C">
      <w:pPr>
        <w:tabs>
          <w:tab w:val="clear" w:pos="567"/>
        </w:tabs>
        <w:ind w:left="567" w:hanging="283"/>
      </w:pPr>
      <w:r>
        <w:t>b; A misszió egyházszervezési szempontból akkor lehet hatékony és megszólító erejű, ha valódi cselekvésre, kapcsolódásra ösztönöz. Mint evangélikusok is felelősek vagyunk önmagunkért és Krisztus-követő közösségünkért, ebbe a közösségbe cselekedni, felelősséget vállalni hívunk mindenkit.</w:t>
      </w:r>
    </w:p>
    <w:p w14:paraId="2669F837" w14:textId="77777777" w:rsidR="003D3228" w:rsidRDefault="003D3228" w:rsidP="00D83D9C">
      <w:pPr>
        <w:tabs>
          <w:tab w:val="clear" w:pos="567"/>
        </w:tabs>
        <w:ind w:left="567" w:hanging="283"/>
      </w:pPr>
      <w:r>
        <w:lastRenderedPageBreak/>
        <w:t>c; Egyházi-hitvallói cselekvéseink és megnyilvánulásaink</w:t>
      </w:r>
      <w:r w:rsidR="0076703F">
        <w:t>, belső egyházi életünk</w:t>
      </w:r>
      <w:r>
        <w:t xml:space="preserve"> tanítási tisztaságát nagyban erősíti, ha nem kell külső </w:t>
      </w:r>
      <w:r w:rsidR="0076703F">
        <w:t>elvárások szempontjait is mérlegelnünk. Az anyagi kiszolgáltatottság ezt nyilvánvalóan nem teszi lehetővé</w:t>
      </w:r>
    </w:p>
    <w:p w14:paraId="4A642EFF" w14:textId="77777777" w:rsidR="0026308E" w:rsidRDefault="0026308E"/>
    <w:p w14:paraId="006BBE63" w14:textId="3870B231" w:rsidR="0076703F" w:rsidRPr="0076703F" w:rsidRDefault="0076703F">
      <w:pPr>
        <w:rPr>
          <w:b/>
          <w:u w:val="single"/>
        </w:rPr>
      </w:pPr>
      <w:r w:rsidRPr="0076703F">
        <w:rPr>
          <w:b/>
          <w:u w:val="single"/>
        </w:rPr>
        <w:t>II. Az Egyház működésé</w:t>
      </w:r>
      <w:r w:rsidR="0008391D">
        <w:rPr>
          <w:b/>
          <w:u w:val="single"/>
        </w:rPr>
        <w:t>hez szükséges</w:t>
      </w:r>
      <w:r w:rsidRPr="0076703F">
        <w:rPr>
          <w:b/>
          <w:u w:val="single"/>
        </w:rPr>
        <w:t xml:space="preserve"> finanszírozás-igényének struktúrája</w:t>
      </w:r>
    </w:p>
    <w:p w14:paraId="407395F6" w14:textId="77777777" w:rsidR="00D91964" w:rsidRDefault="00D91964" w:rsidP="0012594E">
      <w:r>
        <w:t xml:space="preserve">A </w:t>
      </w:r>
      <w:r w:rsidR="0012594E">
        <w:t>gazdasági</w:t>
      </w:r>
      <w:r>
        <w:t xml:space="preserve"> ön</w:t>
      </w:r>
      <w:r w:rsidR="0012594E">
        <w:t xml:space="preserve">állósodás stratégiájának meghatározásához és a külső finanszírozásának igénybevételének érveléséhez célszerű az egyházi tevékenység és lehetséges forrásai tagoltságának világos rögzítése. </w:t>
      </w:r>
    </w:p>
    <w:p w14:paraId="2D4CC879" w14:textId="77777777" w:rsidR="00F6313B" w:rsidRDefault="00F6313B" w:rsidP="0076703F">
      <w:pPr>
        <w:ind w:left="284" w:hanging="284"/>
      </w:pPr>
      <w:r>
        <w:t xml:space="preserve">1. </w:t>
      </w:r>
      <w:r w:rsidR="00D91964">
        <w:t>Á</w:t>
      </w:r>
      <w:r>
        <w:t>tvett feladatok (oktatás, szociális gondozás): ezek állami támogatása lényegében normatív, a kiegészítő támogatások az intézményrendszeri hátrányt kompenzálják, fenntartásuk indokolt</w:t>
      </w:r>
      <w:r w:rsidR="00A6353A">
        <w:t>.</w:t>
      </w:r>
    </w:p>
    <w:p w14:paraId="75B3A18C" w14:textId="77777777" w:rsidR="00F6313B" w:rsidRDefault="00F6313B" w:rsidP="0076703F">
      <w:pPr>
        <w:ind w:left="284" w:hanging="284"/>
      </w:pPr>
      <w:r>
        <w:t xml:space="preserve">2. A templomok, közösségi célú egyházi ingatlanok állagmegóvása, szükséges felújítása: </w:t>
      </w:r>
      <w:r w:rsidR="001E1FD4">
        <w:t xml:space="preserve">állami szempontból </w:t>
      </w:r>
      <w:r>
        <w:t>itt műemlékek vagy egy-egy település</w:t>
      </w:r>
      <w:r w:rsidR="001E1FD4">
        <w:t xml:space="preserve">, közösség identitásához hozzá tartozó épületek gondozásáról van szó, amihez </w:t>
      </w:r>
      <w:r w:rsidR="00A6353A">
        <w:t>elsősorban</w:t>
      </w:r>
      <w:r w:rsidR="001E1FD4">
        <w:t xml:space="preserve"> az állami-közösségi támogatás igénybevétele</w:t>
      </w:r>
      <w:r w:rsidR="00A6353A">
        <w:t xml:space="preserve"> biztosíthat forrást.</w:t>
      </w:r>
    </w:p>
    <w:p w14:paraId="07495EAA" w14:textId="4DEA128D" w:rsidR="001E1FD4" w:rsidRDefault="001E1FD4" w:rsidP="0076703F">
      <w:pPr>
        <w:ind w:left="284" w:hanging="284"/>
      </w:pPr>
      <w:r>
        <w:t xml:space="preserve">3. </w:t>
      </w:r>
      <w:r w:rsidR="00CA4F81">
        <w:t xml:space="preserve">Gyülekezeti élet: lelkészek fizetése rezsije, templomok rezsije, gyülekezeti programok: ez alapvetően a gyülekezetek feladata, hiszen miképpen lehetne meg másképpen az önállóságuk, hogyan érvényesülhetne </w:t>
      </w:r>
      <w:r w:rsidR="00D83D9C">
        <w:t>másképpen az önfelelősség?</w:t>
      </w:r>
      <w:r w:rsidR="00CA4F81">
        <w:t xml:space="preserve"> Természetesen a közösségi forrásokból kiírt programokra, fejlesztésekre stb</w:t>
      </w:r>
      <w:r w:rsidR="00A6353A">
        <w:t>.</w:t>
      </w:r>
      <w:r w:rsidR="00CA4F81">
        <w:t xml:space="preserve"> szóló pályázatokhoz való hozzáférés őket is megilleti.</w:t>
      </w:r>
      <w:r w:rsidR="00A6353A">
        <w:t xml:space="preserve"> Emellett az Egyház és gyülekezetek, mint nemzet- és közösség-építő társadalmi entitá</w:t>
      </w:r>
      <w:r w:rsidR="00D83D9C">
        <w:t>sok, joggal számítanak a szerze</w:t>
      </w:r>
      <w:r w:rsidR="00A6353A">
        <w:t>tt jogok (adó- és járulék-kedvezmények stb.,) fenntartására.</w:t>
      </w:r>
    </w:p>
    <w:p w14:paraId="24C15B54" w14:textId="77777777" w:rsidR="0026308E" w:rsidRDefault="00CA4F81" w:rsidP="0076703F">
      <w:pPr>
        <w:ind w:left="284" w:hanging="284"/>
      </w:pPr>
      <w:r>
        <w:t>4. Hittanoktatás: az iskolai hittanoktatás része az oktatási rendszernek tehát finanszírozása közfeladat. A gyülekezeti hittan a gyülekezeti élet része, tehát gyülekezeti feladat.</w:t>
      </w:r>
    </w:p>
    <w:p w14:paraId="28D96881" w14:textId="335A8BE3" w:rsidR="00CA4F81" w:rsidRDefault="00CA4F81" w:rsidP="0076703F">
      <w:pPr>
        <w:ind w:left="284" w:hanging="284"/>
      </w:pPr>
      <w:r>
        <w:t xml:space="preserve">5. Közművelődési, közösségi tevékenység (múzeum stb.): </w:t>
      </w:r>
      <w:r w:rsidR="00A6353A">
        <w:t xml:space="preserve">ezek részben missziós, részben közösségi funkciót látnak el, tehát részint egyházi, részint közösségi forrásokból </w:t>
      </w:r>
      <w:r w:rsidR="00D83D9C">
        <w:t xml:space="preserve">is </w:t>
      </w:r>
      <w:r w:rsidR="00A6353A">
        <w:t>finanszíroz</w:t>
      </w:r>
      <w:r w:rsidR="00D83D9C">
        <w:t>hatók</w:t>
      </w:r>
      <w:r w:rsidR="00A6353A">
        <w:t>.</w:t>
      </w:r>
    </w:p>
    <w:p w14:paraId="378ADF2D" w14:textId="77777777" w:rsidR="00CA4F81" w:rsidRDefault="00CA4F81" w:rsidP="0076703F">
      <w:pPr>
        <w:ind w:left="284" w:hanging="284"/>
      </w:pPr>
      <w:r>
        <w:t>6. Az Egyház központi menedzsmentje és képvisel</w:t>
      </w:r>
      <w:r w:rsidR="005A1DDD">
        <w:t>e</w:t>
      </w:r>
      <w:r>
        <w:t>te, külkapcsolatai:</w:t>
      </w:r>
      <w:r w:rsidR="00A6353A">
        <w:t xml:space="preserve"> </w:t>
      </w:r>
      <w:r w:rsidR="0012594E">
        <w:t>egyrészt</w:t>
      </w:r>
      <w:r w:rsidR="00A6353A">
        <w:t xml:space="preserve"> itt a központi menedzsment a gyülekezetek és intézmények számára nyújt szolgáltatást, aminek a finanszírozása ezek bevételei méltányos részéből valósítandó meg. </w:t>
      </w:r>
      <w:r w:rsidR="0012594E">
        <w:t>Másrészt</w:t>
      </w:r>
      <w:r w:rsidR="00A6353A">
        <w:t xml:space="preserve"> az Egyház, mint társadalmi szereplő, </w:t>
      </w:r>
      <w:r w:rsidR="0012594E">
        <w:t xml:space="preserve">érdekek és értékek kifejező, </w:t>
      </w:r>
      <w:proofErr w:type="spellStart"/>
      <w:r w:rsidR="0012594E">
        <w:t>deliberatív</w:t>
      </w:r>
      <w:proofErr w:type="spellEnd"/>
      <w:r w:rsidR="0012594E">
        <w:t xml:space="preserve"> folyamatokban közvetítő, nemzetközi szinten az ország számára lényeges diplomáciai, információs és kapcsolatépítő feladatokat is ellátó intézmény, joggal tart igényt ezt elismerő és támogató forrásokra. Harmadrészt a korábban elvett, önfinanszírozást  lehetővé tevő vagyon visszaadása vagy kompenzálása fel nem adható igényünk.</w:t>
      </w:r>
    </w:p>
    <w:p w14:paraId="65A091AB" w14:textId="717BE229" w:rsidR="0026308E" w:rsidRDefault="0012594E">
      <w:r>
        <w:t xml:space="preserve">Ezeket a tényezőket mátrixban ábrázolva egyfajta </w:t>
      </w:r>
      <w:r w:rsidR="006E1C48">
        <w:t>„útitervet” (</w:t>
      </w:r>
      <w:proofErr w:type="spellStart"/>
      <w:r w:rsidRPr="006E1C48">
        <w:rPr>
          <w:i/>
        </w:rPr>
        <w:t>roadmap</w:t>
      </w:r>
      <w:proofErr w:type="spellEnd"/>
      <w:r w:rsidR="006E1C48">
        <w:t>)</w:t>
      </w:r>
      <w:r>
        <w:t xml:space="preserve"> kapunk a </w:t>
      </w:r>
      <w:r w:rsidR="001A0A6A">
        <w:t>egyházi finanszírozás ügyében szükséges belső teendők és érdekérvényesítés feladat-megosztásához, az elérendő célokhoz.</w:t>
      </w:r>
    </w:p>
    <w:p w14:paraId="37624D73" w14:textId="77777777" w:rsidR="005A1DDD" w:rsidRDefault="005A1DDD" w:rsidP="005A1DDD"/>
    <w:p w14:paraId="5141F9C9" w14:textId="77777777" w:rsidR="005A1DDD" w:rsidRPr="00925CE0" w:rsidRDefault="005A1DDD" w:rsidP="005A1DDD">
      <w:pPr>
        <w:rPr>
          <w:b/>
          <w:u w:val="single"/>
        </w:rPr>
      </w:pPr>
      <w:r w:rsidRPr="00925CE0">
        <w:rPr>
          <w:b/>
          <w:u w:val="single"/>
        </w:rPr>
        <w:t>III. A gyülekezeti gazdasági önállósodás stratégiája</w:t>
      </w:r>
    </w:p>
    <w:p w14:paraId="6B187905" w14:textId="77777777" w:rsidR="00BF1C99" w:rsidRPr="008E0BA8" w:rsidRDefault="00BF1C99" w:rsidP="005A1DDD">
      <w:pPr>
        <w:rPr>
          <w:b/>
          <w:i/>
        </w:rPr>
      </w:pPr>
      <w:r w:rsidRPr="008E0BA8">
        <w:rPr>
          <w:b/>
          <w:i/>
        </w:rPr>
        <w:t>1. Helyzetkép: az önfelelősség érvényesülésének elégtelensége</w:t>
      </w:r>
    </w:p>
    <w:p w14:paraId="24E7AF53" w14:textId="179352CA" w:rsidR="005A1DDD" w:rsidRDefault="005A1DDD" w:rsidP="005A1DDD">
      <w:r>
        <w:t>Az elmúlt évek költségvetési beszámolói alapján a gyülekezeti gazdálkodás belső arányai a főszámok t</w:t>
      </w:r>
      <w:r w:rsidR="00B44E8C">
        <w:t>ekintetében eszerint alakultak:</w:t>
      </w:r>
    </w:p>
    <w:p w14:paraId="711DFC5B" w14:textId="7D93830F" w:rsidR="005B0E76" w:rsidRDefault="005B0E76" w:rsidP="005A1DDD">
      <w:r>
        <w:rPr>
          <w:noProof/>
          <w:lang w:val="en-US"/>
        </w:rPr>
        <w:drawing>
          <wp:inline distT="0" distB="0" distL="0" distR="0" wp14:anchorId="1F17DBE6" wp14:editId="4CD227F1">
            <wp:extent cx="5257800" cy="21844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53393E" w14:textId="32CF8F32" w:rsidR="005B0E76" w:rsidRDefault="005B0E76" w:rsidP="005A1DDD">
      <w:r>
        <w:t>Igen jelentős, milliárdos nagyságrendű tételt jelentenek a különféle nagyobb ingatlan-beruházások, illetve a gyülekezeti fenntartású intézmények átmenő tételei, de ezek messze meghaladják a gyülekezeti gazdálkodás működési kereteit és forrásuk is túlnyomórészt kívülről jön, vagy normatív (intézmények), vagy eseti (pályázatok, kiemelt állami támogatások), ezért a gyülekezetek fenntart</w:t>
      </w:r>
      <w:r w:rsidR="006E1C48">
        <w:t>hatóságának tekintetében</w:t>
      </w:r>
      <w:r>
        <w:t xml:space="preserve"> nem számolunk velük</w:t>
      </w:r>
      <w:r w:rsidR="006E1C48">
        <w:t xml:space="preserve"> (miközben természetesen például a templomok állaga, használhatósága stb. szerves része a gyülekezeti környezetnek.)</w:t>
      </w:r>
    </w:p>
    <w:p w14:paraId="673DDC64" w14:textId="4E8C8B25" w:rsidR="005A1DDD" w:rsidRDefault="0050254C" w:rsidP="005A1DDD">
      <w:r>
        <w:t xml:space="preserve">A </w:t>
      </w:r>
      <w:r w:rsidR="000703A0">
        <w:t xml:space="preserve">gyülekezetek </w:t>
      </w:r>
      <w:proofErr w:type="spellStart"/>
      <w:r>
        <w:t>cca</w:t>
      </w:r>
      <w:proofErr w:type="spellEnd"/>
      <w:r>
        <w:t xml:space="preserve"> </w:t>
      </w:r>
      <w:r w:rsidR="00DE6406">
        <w:t>2</w:t>
      </w:r>
      <w:r w:rsidR="000703A0">
        <w:t>,</w:t>
      </w:r>
      <w:r w:rsidR="00BA2957">
        <w:t>3</w:t>
      </w:r>
      <w:r>
        <w:t xml:space="preserve"> Mrd Ft-nyi </w:t>
      </w:r>
      <w:r w:rsidR="007D70A5">
        <w:t xml:space="preserve">működési </w:t>
      </w:r>
      <w:r w:rsidR="00FC14AD">
        <w:t xml:space="preserve">jellegű </w:t>
      </w:r>
      <w:r>
        <w:t>kiadás</w:t>
      </w:r>
      <w:r w:rsidR="000703A0">
        <w:t>á</w:t>
      </w:r>
      <w:r>
        <w:t xml:space="preserve">ból </w:t>
      </w:r>
      <w:r w:rsidR="000703A0">
        <w:t>mintegy</w:t>
      </w:r>
      <w:r>
        <w:t xml:space="preserve"> 1</w:t>
      </w:r>
      <w:r w:rsidR="000703A0">
        <w:t>,6</w:t>
      </w:r>
      <w:r>
        <w:t xml:space="preserve"> Mrd Ft-ot fedez a gyülekezeti tagok </w:t>
      </w:r>
      <w:r w:rsidR="00BA2957">
        <w:t xml:space="preserve">és szervezetek </w:t>
      </w:r>
      <w:r>
        <w:t>különféle módon befizetett</w:t>
      </w:r>
      <w:r w:rsidR="00BA2957">
        <w:t>, nem kötött felhasználású</w:t>
      </w:r>
      <w:r>
        <w:t xml:space="preserve"> </w:t>
      </w:r>
      <w:r w:rsidR="00B44E8C">
        <w:t>tehervállalása</w:t>
      </w:r>
      <w:r w:rsidR="000703A0">
        <w:t xml:space="preserve"> (</w:t>
      </w:r>
      <w:r w:rsidR="00BA2957">
        <w:t>1,07Mrd</w:t>
      </w:r>
      <w:r w:rsidR="000703A0">
        <w:t>) és a gyülekezeti vagyonnal való gazdálkodás</w:t>
      </w:r>
      <w:r w:rsidR="00142A24">
        <w:t xml:space="preserve"> (516,6MFt)</w:t>
      </w:r>
      <w:r>
        <w:t xml:space="preserve">. Az egyháztagok ezen áldozatvállalásából </w:t>
      </w:r>
      <w:proofErr w:type="spellStart"/>
      <w:r>
        <w:t>cca</w:t>
      </w:r>
      <w:proofErr w:type="spellEnd"/>
      <w:r>
        <w:t xml:space="preserve"> 4</w:t>
      </w:r>
      <w:r w:rsidR="00C507E5">
        <w:t>90</w:t>
      </w:r>
      <w:r>
        <w:t xml:space="preserve"> </w:t>
      </w:r>
      <w:proofErr w:type="spellStart"/>
      <w:r>
        <w:t>MFt</w:t>
      </w:r>
      <w:proofErr w:type="spellEnd"/>
      <w:r>
        <w:t xml:space="preserve"> az egyházfenntartói járulék, </w:t>
      </w:r>
      <w:r w:rsidR="00C507E5">
        <w:t>300</w:t>
      </w:r>
      <w:r>
        <w:t xml:space="preserve"> </w:t>
      </w:r>
      <w:proofErr w:type="spellStart"/>
      <w:r>
        <w:t>MFt</w:t>
      </w:r>
      <w:proofErr w:type="spellEnd"/>
      <w:r>
        <w:t xml:space="preserve"> a per</w:t>
      </w:r>
      <w:r w:rsidR="00142A24">
        <w:t xml:space="preserve">selypénz és </w:t>
      </w:r>
      <w:r w:rsidR="00C507E5">
        <w:t>240</w:t>
      </w:r>
      <w:r w:rsidR="00142A24">
        <w:t xml:space="preserve"> </w:t>
      </w:r>
      <w:proofErr w:type="spellStart"/>
      <w:r w:rsidR="00142A24">
        <w:t>MFt</w:t>
      </w:r>
      <w:proofErr w:type="spellEnd"/>
      <w:r w:rsidR="00142A24">
        <w:t xml:space="preserve"> a</w:t>
      </w:r>
      <w:r w:rsidR="00C507E5">
        <w:t xml:space="preserve"> nem kötött célú magán</w:t>
      </w:r>
      <w:r w:rsidR="00142A24">
        <w:t>adomány.</w:t>
      </w:r>
    </w:p>
    <w:p w14:paraId="78956045" w14:textId="0AF10CD4" w:rsidR="00B60CC4" w:rsidRDefault="00C507E5" w:rsidP="005A1DDD">
      <w:r>
        <w:rPr>
          <w:noProof/>
          <w:lang w:val="en-US"/>
        </w:rPr>
        <w:lastRenderedPageBreak/>
        <w:drawing>
          <wp:inline distT="0" distB="0" distL="0" distR="0" wp14:anchorId="5C85D504" wp14:editId="23A430A7">
            <wp:extent cx="5270500" cy="2940256"/>
            <wp:effectExtent l="0" t="0" r="12700" b="317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3CCEFB" w14:textId="04DE594E" w:rsidR="00166AB6" w:rsidRDefault="00166AB6" w:rsidP="005A1DDD">
      <w:r>
        <w:t xml:space="preserve">Mindebből látható, hogy jelenleg a 178 ezer egyháztag, ezen belül az alig 79 ezer választói névjegyzékben szereplő evangélikus saját </w:t>
      </w:r>
      <w:r w:rsidR="00142A24">
        <w:t>áldozatvállalásából</w:t>
      </w:r>
      <w:r>
        <w:t xml:space="preserve"> a gyülekezeti működés </w:t>
      </w:r>
      <w:r w:rsidR="00142A24">
        <w:t>kétharmada</w:t>
      </w:r>
      <w:r>
        <w:t xml:space="preserve"> finanszírozott.</w:t>
      </w:r>
    </w:p>
    <w:p w14:paraId="76DD472D" w14:textId="77777777" w:rsidR="008E0BA8" w:rsidRDefault="008E0BA8" w:rsidP="005A1DDD">
      <w:pPr>
        <w:rPr>
          <w:b/>
          <w:i/>
        </w:rPr>
      </w:pPr>
    </w:p>
    <w:p w14:paraId="22007AF1" w14:textId="77777777" w:rsidR="00BF1C99" w:rsidRPr="008E0BA8" w:rsidRDefault="00BF1C99" w:rsidP="005A1DDD">
      <w:pPr>
        <w:rPr>
          <w:b/>
          <w:i/>
        </w:rPr>
      </w:pPr>
      <w:r w:rsidRPr="008E0BA8">
        <w:rPr>
          <w:b/>
          <w:i/>
        </w:rPr>
        <w:t xml:space="preserve">2. A </w:t>
      </w:r>
      <w:r w:rsidR="00F52C8A" w:rsidRPr="008E0BA8">
        <w:rPr>
          <w:b/>
          <w:i/>
        </w:rPr>
        <w:t>teherviselő képesség növelése</w:t>
      </w:r>
      <w:r w:rsidRPr="008E0BA8">
        <w:rPr>
          <w:b/>
          <w:i/>
        </w:rPr>
        <w:t xml:space="preserve"> </w:t>
      </w:r>
    </w:p>
    <w:p w14:paraId="4F5DFCE7" w14:textId="77777777" w:rsidR="00262F47" w:rsidRDefault="00262F47" w:rsidP="005A1DDD">
      <w:pPr>
        <w:rPr>
          <w:i/>
        </w:rPr>
      </w:pPr>
      <w:r w:rsidRPr="00262F47">
        <w:rPr>
          <w:i/>
        </w:rPr>
        <w:t xml:space="preserve">a; </w:t>
      </w:r>
      <w:r>
        <w:rPr>
          <w:i/>
        </w:rPr>
        <w:t>s</w:t>
      </w:r>
      <w:r w:rsidRPr="00262F47">
        <w:rPr>
          <w:i/>
        </w:rPr>
        <w:t>zemélyes tehervállalás</w:t>
      </w:r>
    </w:p>
    <w:p w14:paraId="1364899D" w14:textId="052A7189" w:rsidR="0070092D" w:rsidRPr="00262F47" w:rsidRDefault="0070092D" w:rsidP="0070092D">
      <w:pPr>
        <w:jc w:val="right"/>
        <w:rPr>
          <w:i/>
        </w:rPr>
      </w:pPr>
      <w:r w:rsidRPr="0070092D">
        <w:rPr>
          <w:i/>
          <w:lang w:val="en-US"/>
        </w:rPr>
        <w:t>"</w:t>
      </w:r>
      <w:proofErr w:type="spellStart"/>
      <w:r w:rsidRPr="0070092D">
        <w:rPr>
          <w:i/>
          <w:lang w:val="en-US"/>
        </w:rPr>
        <w:t>Jézus</w:t>
      </w:r>
      <w:proofErr w:type="spellEnd"/>
      <w:r w:rsidRPr="0070092D">
        <w:rPr>
          <w:i/>
          <w:lang w:val="en-US"/>
        </w:rPr>
        <w:t xml:space="preserve"> </w:t>
      </w:r>
      <w:proofErr w:type="spellStart"/>
      <w:r w:rsidRPr="0070092D">
        <w:rPr>
          <w:i/>
          <w:lang w:val="en-US"/>
        </w:rPr>
        <w:t>pedig</w:t>
      </w:r>
      <w:proofErr w:type="spellEnd"/>
      <w:r w:rsidRPr="0070092D">
        <w:rPr>
          <w:i/>
          <w:lang w:val="en-US"/>
        </w:rPr>
        <w:t xml:space="preserve"> </w:t>
      </w:r>
      <w:proofErr w:type="spellStart"/>
      <w:r w:rsidRPr="0070092D">
        <w:rPr>
          <w:i/>
          <w:lang w:val="en-US"/>
        </w:rPr>
        <w:t>leült</w:t>
      </w:r>
      <w:proofErr w:type="spellEnd"/>
      <w:r w:rsidRPr="0070092D">
        <w:rPr>
          <w:i/>
          <w:lang w:val="en-US"/>
        </w:rPr>
        <w:t xml:space="preserve"> a </w:t>
      </w:r>
      <w:proofErr w:type="spellStart"/>
      <w:r w:rsidRPr="0070092D">
        <w:rPr>
          <w:i/>
          <w:lang w:val="en-US"/>
        </w:rPr>
        <w:t>templomi</w:t>
      </w:r>
      <w:proofErr w:type="spellEnd"/>
      <w:r w:rsidRPr="0070092D">
        <w:rPr>
          <w:i/>
          <w:lang w:val="en-US"/>
        </w:rPr>
        <w:t xml:space="preserve"> </w:t>
      </w:r>
      <w:proofErr w:type="spellStart"/>
      <w:r w:rsidRPr="0070092D">
        <w:rPr>
          <w:i/>
          <w:lang w:val="en-US"/>
        </w:rPr>
        <w:t>persellyel</w:t>
      </w:r>
      <w:proofErr w:type="spellEnd"/>
      <w:r w:rsidRPr="0070092D">
        <w:rPr>
          <w:i/>
          <w:lang w:val="en-US"/>
        </w:rPr>
        <w:t xml:space="preserve"> </w:t>
      </w:r>
      <w:proofErr w:type="spellStart"/>
      <w:r w:rsidRPr="0070092D">
        <w:rPr>
          <w:i/>
          <w:lang w:val="en-US"/>
        </w:rPr>
        <w:t>szemben</w:t>
      </w:r>
      <w:proofErr w:type="spellEnd"/>
      <w:r w:rsidRPr="0070092D">
        <w:rPr>
          <w:i/>
          <w:lang w:val="en-US"/>
        </w:rPr>
        <w:t xml:space="preserve">, </w:t>
      </w:r>
      <w:proofErr w:type="spellStart"/>
      <w:r w:rsidRPr="0070092D">
        <w:rPr>
          <w:i/>
          <w:lang w:val="en-US"/>
        </w:rPr>
        <w:t>és</w:t>
      </w:r>
      <w:proofErr w:type="spellEnd"/>
      <w:r w:rsidRPr="0070092D">
        <w:rPr>
          <w:i/>
          <w:lang w:val="en-US"/>
        </w:rPr>
        <w:t xml:space="preserve"> </w:t>
      </w:r>
      <w:proofErr w:type="spellStart"/>
      <w:r w:rsidRPr="0070092D">
        <w:rPr>
          <w:i/>
          <w:lang w:val="en-US"/>
        </w:rPr>
        <w:t>nézte</w:t>
      </w:r>
      <w:proofErr w:type="spellEnd"/>
      <w:r w:rsidRPr="0070092D">
        <w:rPr>
          <w:i/>
          <w:lang w:val="en-US"/>
        </w:rPr>
        <w:t xml:space="preserve">, </w:t>
      </w:r>
      <w:proofErr w:type="spellStart"/>
      <w:r w:rsidRPr="0070092D">
        <w:rPr>
          <w:i/>
          <w:lang w:val="en-US"/>
        </w:rPr>
        <w:t>hogyan</w:t>
      </w:r>
      <w:proofErr w:type="spellEnd"/>
      <w:r w:rsidRPr="0070092D">
        <w:rPr>
          <w:i/>
          <w:lang w:val="en-US"/>
        </w:rPr>
        <w:t xml:space="preserve"> </w:t>
      </w:r>
      <w:proofErr w:type="spellStart"/>
      <w:r w:rsidRPr="0070092D">
        <w:rPr>
          <w:i/>
          <w:lang w:val="en-US"/>
        </w:rPr>
        <w:t>dobja</w:t>
      </w:r>
      <w:proofErr w:type="spellEnd"/>
      <w:r w:rsidRPr="0070092D">
        <w:rPr>
          <w:i/>
          <w:lang w:val="en-US"/>
        </w:rPr>
        <w:t xml:space="preserve"> a </w:t>
      </w:r>
      <w:proofErr w:type="spellStart"/>
      <w:r w:rsidRPr="0070092D">
        <w:rPr>
          <w:i/>
          <w:lang w:val="en-US"/>
        </w:rPr>
        <w:t>pénzt</w:t>
      </w:r>
      <w:proofErr w:type="spellEnd"/>
      <w:r w:rsidRPr="0070092D">
        <w:rPr>
          <w:i/>
          <w:lang w:val="en-US"/>
        </w:rPr>
        <w:t xml:space="preserve"> a </w:t>
      </w:r>
      <w:proofErr w:type="spellStart"/>
      <w:r w:rsidRPr="0070092D">
        <w:rPr>
          <w:i/>
          <w:lang w:val="en-US"/>
        </w:rPr>
        <w:t>sokaság</w:t>
      </w:r>
      <w:proofErr w:type="spellEnd"/>
      <w:r w:rsidRPr="0070092D">
        <w:rPr>
          <w:i/>
          <w:lang w:val="en-US"/>
        </w:rPr>
        <w:t xml:space="preserve"> a </w:t>
      </w:r>
      <w:proofErr w:type="spellStart"/>
      <w:r w:rsidRPr="0070092D">
        <w:rPr>
          <w:i/>
          <w:lang w:val="en-US"/>
        </w:rPr>
        <w:t>perselybe</w:t>
      </w:r>
      <w:proofErr w:type="spellEnd"/>
      <w:r w:rsidRPr="0070092D">
        <w:rPr>
          <w:i/>
          <w:lang w:val="en-US"/>
        </w:rPr>
        <w:t>..." (Mk 12, 41a)</w:t>
      </w:r>
    </w:p>
    <w:p w14:paraId="63BBFBD0" w14:textId="05808642" w:rsidR="00BF1C99" w:rsidRDefault="00F45C17" w:rsidP="005A1DDD">
      <w:r>
        <w:t xml:space="preserve">A gazdasági önállósodás </w:t>
      </w:r>
      <w:r w:rsidR="007D70A5">
        <w:t xml:space="preserve">folyamatában reális (bár a jelenlegi helyzetből nézvést illuzórikusnak tűnhető) </w:t>
      </w:r>
      <w:r>
        <w:t>cél</w:t>
      </w:r>
      <w:r w:rsidR="007D70A5">
        <w:t xml:space="preserve">ként az tűzhető ki, </w:t>
      </w:r>
      <w:r>
        <w:t xml:space="preserve">hogy a gyülekezetek </w:t>
      </w:r>
      <w:r w:rsidR="00C97812">
        <w:t xml:space="preserve">alapvető </w:t>
      </w:r>
      <w:r w:rsidR="009B0D1C">
        <w:t>működési és személyi</w:t>
      </w:r>
      <w:r w:rsidR="007D70A5">
        <w:t xml:space="preserve"> kiadásai</w:t>
      </w:r>
      <w:r w:rsidR="00C97812">
        <w:t>t (lelk</w:t>
      </w:r>
      <w:r w:rsidR="00EA4712">
        <w:t>észi illetmény, rezsi, gépjármű</w:t>
      </w:r>
      <w:r w:rsidR="0006537E">
        <w:t>, adók, ingatlanok karbantartása</w:t>
      </w:r>
      <w:r w:rsidR="00C97812">
        <w:t>)</w:t>
      </w:r>
      <w:r w:rsidR="007D70A5">
        <w:t xml:space="preserve">, vagyis mintegy </w:t>
      </w:r>
      <w:r w:rsidR="0006537E">
        <w:t>2,</w:t>
      </w:r>
      <w:r w:rsidR="00142A24">
        <w:t>3</w:t>
      </w:r>
      <w:r w:rsidR="007D70A5">
        <w:t xml:space="preserve"> Mrd Ft-ot az egyháztagok </w:t>
      </w:r>
      <w:r w:rsidR="00EA4712">
        <w:t xml:space="preserve">rendszeres </w:t>
      </w:r>
      <w:r w:rsidR="007D70A5">
        <w:t xml:space="preserve">befizetéseiből fedezzék. </w:t>
      </w:r>
      <w:r w:rsidR="0001162F">
        <w:t>Ha a</w:t>
      </w:r>
      <w:r w:rsidR="0006537E">
        <w:t xml:space="preserve"> cél</w:t>
      </w:r>
      <w:r w:rsidR="0001162F">
        <w:t xml:space="preserve">adományokat </w:t>
      </w:r>
      <w:r w:rsidR="00600CD8">
        <w:t xml:space="preserve">és szervezeti adományokat </w:t>
      </w:r>
      <w:r w:rsidR="00C97812">
        <w:t>ettől függetlenül felhasználandó, célfeladatra irányuló forrásnak tekintjük</w:t>
      </w:r>
      <w:r w:rsidR="0001162F">
        <w:t xml:space="preserve">, </w:t>
      </w:r>
      <w:r w:rsidR="00600CD8">
        <w:t xml:space="preserve">illetve az ingatlan-hasznosítási, vállalkozási és pályázati bevételeket a fejlesztések forrásának, </w:t>
      </w:r>
      <w:r w:rsidR="0001162F">
        <w:t xml:space="preserve">akkor ehhez az szükséges, hogy az egyházfenntartói járulék </w:t>
      </w:r>
      <w:r w:rsidR="00C97812">
        <w:t>és perselypénz</w:t>
      </w:r>
      <w:r w:rsidR="0006537E">
        <w:t xml:space="preserve"> valamint az általános adományok</w:t>
      </w:r>
      <w:r w:rsidR="00C97812">
        <w:t xml:space="preserve"> együttesen </w:t>
      </w:r>
      <w:r w:rsidR="00EA4712">
        <w:t>érj</w:t>
      </w:r>
      <w:r w:rsidR="0006537E">
        <w:t>ék</w:t>
      </w:r>
      <w:r w:rsidR="00EA4712">
        <w:t xml:space="preserve"> el ezt az összeget, ami a jelenlegi </w:t>
      </w:r>
      <w:r w:rsidR="0006537E">
        <w:t>ilyen jellegű bevételek</w:t>
      </w:r>
      <w:r w:rsidR="00EA4712">
        <w:t xml:space="preserve"> (</w:t>
      </w:r>
      <w:proofErr w:type="spellStart"/>
      <w:r w:rsidR="0006537E">
        <w:t>cca</w:t>
      </w:r>
      <w:proofErr w:type="spellEnd"/>
      <w:r w:rsidR="0006537E">
        <w:t xml:space="preserve"> 1,</w:t>
      </w:r>
      <w:r w:rsidR="00142A24">
        <w:t>07</w:t>
      </w:r>
      <w:r w:rsidR="00EA4712">
        <w:t xml:space="preserve"> </w:t>
      </w:r>
      <w:proofErr w:type="spellStart"/>
      <w:r w:rsidR="00EA4712">
        <w:t>MFt</w:t>
      </w:r>
      <w:proofErr w:type="spellEnd"/>
      <w:r w:rsidR="00EA4712">
        <w:t>)</w:t>
      </w:r>
      <w:r w:rsidR="0001162F">
        <w:t xml:space="preserve"> </w:t>
      </w:r>
      <w:r w:rsidR="00600CD8">
        <w:t xml:space="preserve">közel </w:t>
      </w:r>
      <w:r w:rsidR="0006537E">
        <w:t>megkétszerezését</w:t>
      </w:r>
      <w:r w:rsidR="0001162F">
        <w:t xml:space="preserve"> jelent</w:t>
      </w:r>
      <w:r w:rsidR="00EA4712">
        <w:t>i</w:t>
      </w:r>
      <w:r w:rsidR="0001162F">
        <w:t>.</w:t>
      </w:r>
    </w:p>
    <w:p w14:paraId="7BF60069" w14:textId="77777777" w:rsidR="00600CD8" w:rsidRDefault="0001162F" w:rsidP="005A1DDD">
      <w:r>
        <w:t>Va</w:t>
      </w:r>
      <w:r w:rsidR="00600CD8">
        <w:t>lóban reális-e ez a célkitűzés?</w:t>
      </w:r>
    </w:p>
    <w:p w14:paraId="3DB848DB" w14:textId="7C978014" w:rsidR="0001162F" w:rsidRDefault="0001162F" w:rsidP="005A1DDD">
      <w:r>
        <w:t>Két útját látjuk a növekedésnek. Egyfelől a jelenlegi egyházfenntartói kör változatlan mértékével és összetételével számolva azt látjuk, hogy a következő tehervállalás volna szükséges</w:t>
      </w:r>
      <w:r w:rsidR="00B5414A">
        <w:t xml:space="preserve"> (az egyszerűség kedvéért járulék-összegre vetítve, amit természetesen kivált a perselypénz és adomány is)</w:t>
      </w:r>
      <w:r>
        <w:t>:</w:t>
      </w:r>
    </w:p>
    <w:tbl>
      <w:tblPr>
        <w:tblW w:w="5043" w:type="pct"/>
        <w:tblLayout w:type="fixed"/>
        <w:tblLook w:val="04A0" w:firstRow="1" w:lastRow="0" w:firstColumn="1" w:lastColumn="0" w:noHBand="0" w:noVBand="1"/>
      </w:tblPr>
      <w:tblGrid>
        <w:gridCol w:w="1069"/>
        <w:gridCol w:w="1165"/>
        <w:gridCol w:w="1093"/>
        <w:gridCol w:w="775"/>
        <w:gridCol w:w="1659"/>
        <w:gridCol w:w="1426"/>
        <w:gridCol w:w="1402"/>
      </w:tblGrid>
      <w:tr w:rsidR="0074194D" w:rsidRPr="0074194D" w14:paraId="25B8D7CB" w14:textId="77777777" w:rsidTr="0074194D">
        <w:trPr>
          <w:trHeight w:val="90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99F1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9108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elvárható</w:t>
            </w:r>
            <w:proofErr w:type="spellEnd"/>
            <w:proofErr w:type="gramEnd"/>
            <w:r w:rsidRPr="0074194D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éves</w:t>
            </w:r>
            <w:proofErr w:type="spellEnd"/>
            <w:r w:rsidRPr="0074194D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járulék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E1FB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havontai</w:t>
            </w:r>
            <w:proofErr w:type="spellEnd"/>
            <w:proofErr w:type="gramEnd"/>
            <w:r w:rsidRPr="0074194D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tehervállalás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409C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létszám</w:t>
            </w:r>
            <w:proofErr w:type="spellEnd"/>
            <w:proofErr w:type="gramEnd"/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8633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ind w:left="-133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összes</w:t>
            </w:r>
            <w:proofErr w:type="spellEnd"/>
            <w:proofErr w:type="gramEnd"/>
            <w:r w:rsidRPr="0074194D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bevétel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3116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ind w:left="59"/>
              <w:jc w:val="lef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74194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arány</w:t>
            </w:r>
            <w:proofErr w:type="spellEnd"/>
            <w:proofErr w:type="gramEnd"/>
            <w:r w:rsidRPr="0074194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194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az</w:t>
            </w:r>
            <w:proofErr w:type="spellEnd"/>
            <w:r w:rsidRPr="0074194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194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átlagjövedelem</w:t>
            </w:r>
            <w:proofErr w:type="spellEnd"/>
            <w:r w:rsidRPr="0074194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194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alapján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FBAD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havi</w:t>
            </w:r>
            <w:proofErr w:type="spellEnd"/>
            <w:proofErr w:type="gramEnd"/>
            <w:r w:rsidRPr="0074194D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átlagkereset</w:t>
            </w:r>
            <w:proofErr w:type="spellEnd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nyugdíj</w:t>
            </w:r>
            <w:proofErr w:type="spellEnd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ösztöndíj</w:t>
            </w:r>
            <w:proofErr w:type="spellEnd"/>
          </w:p>
        </w:tc>
      </w:tr>
      <w:tr w:rsidR="0074194D" w:rsidRPr="0074194D" w14:paraId="78155E84" w14:textId="77777777" w:rsidTr="0074194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4636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kereső</w:t>
            </w:r>
            <w:proofErr w:type="spellEnd"/>
            <w:proofErr w:type="gramEnd"/>
            <w:r w:rsidRPr="0074194D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foglalkoztatott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59AF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45 000 HUF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8723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3 750 HUF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0729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30 000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6145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ind w:left="-133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1 350 000 000 HUF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88CE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ind w:left="59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1,74%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20AE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216 000 HUF</w:t>
            </w:r>
          </w:p>
        </w:tc>
      </w:tr>
      <w:tr w:rsidR="0074194D" w:rsidRPr="0074194D" w14:paraId="20DEA12D" w14:textId="77777777" w:rsidTr="0074194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EDB4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nyugdíjas</w:t>
            </w:r>
            <w:proofErr w:type="spellEnd"/>
            <w:proofErr w:type="gram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70F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22 500 HUF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6CE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1 875 HUF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AB0F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40 000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1957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ind w:left="-133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900 000 000 HUF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15F8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ind w:left="59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1,40%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8C35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134 000 HUF</w:t>
            </w:r>
          </w:p>
        </w:tc>
      </w:tr>
      <w:tr w:rsidR="0074194D" w:rsidRPr="0074194D" w14:paraId="71FB3815" w14:textId="77777777" w:rsidTr="0074194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0B1D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74194D">
              <w:rPr>
                <w:color w:val="000000"/>
                <w:sz w:val="20"/>
                <w:szCs w:val="20"/>
                <w:lang w:val="en-US" w:eastAsia="en-US"/>
              </w:rPr>
              <w:t>tanuló</w:t>
            </w:r>
            <w:proofErr w:type="spellEnd"/>
            <w:proofErr w:type="gram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0581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1 000 HUF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FD44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83 HUF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243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10 000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C3B8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ind w:left="-133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10 000 000 HUF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B98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ind w:left="59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0,83%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F037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10 000 HUF</w:t>
            </w:r>
          </w:p>
        </w:tc>
      </w:tr>
      <w:tr w:rsidR="0074194D" w:rsidRPr="0074194D" w14:paraId="0B799DF4" w14:textId="77777777" w:rsidTr="0074194D">
        <w:trPr>
          <w:trHeight w:val="30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01E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74194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összesen</w:t>
            </w:r>
            <w:proofErr w:type="spellEnd"/>
            <w:proofErr w:type="gram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1DB8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E81F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C3A7" w14:textId="73E2414E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80 </w:t>
            </w:r>
            <w:r w:rsidRPr="0074194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C811" w14:textId="657AB2CA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ind w:left="-133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2.260.000.</w:t>
            </w:r>
            <w:r w:rsidRPr="0074194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000 HUF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B52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ind w:left="59"/>
              <w:jc w:val="lef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05C8" w14:textId="77777777" w:rsidR="0074194D" w:rsidRPr="0074194D" w:rsidRDefault="0074194D" w:rsidP="0074194D">
            <w:pPr>
              <w:tabs>
                <w:tab w:val="clear" w:pos="567"/>
              </w:tabs>
              <w:spacing w:before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74194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42CFC255" w14:textId="77777777" w:rsidR="00670E31" w:rsidRDefault="00670E31" w:rsidP="005A1DDD"/>
    <w:p w14:paraId="31B256C7" w14:textId="77777777" w:rsidR="0001162F" w:rsidRDefault="002A5E2F" w:rsidP="005A1DDD">
      <w:r>
        <w:t>Látható tehát, hogy miközben a jelenlegi adakozókedvhez képest jelentős a növekedési igény, azok kívánatos szintje még mindig egy igen kis része a személyes jövedelmeknek.</w:t>
      </w:r>
    </w:p>
    <w:p w14:paraId="21B7D7ED" w14:textId="1C33DEAC" w:rsidR="002A5E2F" w:rsidRDefault="002A5E2F" w:rsidP="005A1DDD">
      <w:r>
        <w:t xml:space="preserve">A megvalósítás </w:t>
      </w:r>
      <w:r w:rsidR="00302788">
        <w:t xml:space="preserve">természetesen a testvériesség jegyében történhet: nem minden egyháztagunk egyenkénti ugyanakkora mértékben növelendő tehervállalása a kívánatos. Fontos, keresztényi alapú erőforrásunk ugyanis </w:t>
      </w:r>
      <w:r>
        <w:t>a gyülekezetek közt helyenként már most meglévő (pl. Budavári Egyházközség) hálózatos együttműködés, szolidaritás kiterjesztése és adott esetben nem csak gyülekezeti, de személyes szintre adaptálása is. Vagyis, gyülekezetek között, ha a módosabb tagok befizet</w:t>
      </w:r>
      <w:r w:rsidR="00B42C5D">
        <w:t xml:space="preserve">ései meghaladják egy gyülekezet igényeit, akkor abból támogatható egy szerényebb lehetőségekkel bíró gyülekezetet. Emellett, ha </w:t>
      </w:r>
      <w:r>
        <w:t>valaki képes a jövedelméből nagyobb részt</w:t>
      </w:r>
      <w:r w:rsidR="00B42C5D">
        <w:t xml:space="preserve"> járulékként befizetni, azzal „kiválthatja” a szűkölködő egyháztag ráfordítását (ennek megvalósítási mikéntje, nyilvánossága természetesen nagy tapintatot igényel, de a mai infokommunikációs világban viszonylag egyszerűen megoldható a befizetések láthatóságát így megoldani</w:t>
      </w:r>
      <w:r w:rsidR="00262F47">
        <w:t xml:space="preserve">, akár névtelenséggel, de az </w:t>
      </w:r>
      <w:proofErr w:type="spellStart"/>
      <w:r w:rsidR="00262F47">
        <w:t>eyges</w:t>
      </w:r>
      <w:proofErr w:type="spellEnd"/>
      <w:r w:rsidR="00262F47">
        <w:t xml:space="preserve"> befizetések nagyságának </w:t>
      </w:r>
      <w:proofErr w:type="spellStart"/>
      <w:r w:rsidR="00262F47">
        <w:t>nyomonkövetésével</w:t>
      </w:r>
      <w:proofErr w:type="spellEnd"/>
      <w:r w:rsidR="00B42C5D">
        <w:t>.)</w:t>
      </w:r>
    </w:p>
    <w:p w14:paraId="24E36B74" w14:textId="7A302A28" w:rsidR="00B42C5D" w:rsidRDefault="008E0BA8" w:rsidP="005A1DDD">
      <w:r>
        <w:t xml:space="preserve">Kiemelt egyházszervezeti és missziós aktivitásunk lehet a járulékfizetők körének kiterjesztése – evangélikus körben. </w:t>
      </w:r>
      <w:r w:rsidR="00935104">
        <w:t>Jóval t</w:t>
      </w:r>
      <w:r>
        <w:t>öbben vannak nem-fizető egyháztagjaink, mint a tehervállalók: az ő hatékony, szisztematikus megszólításuk érdemben csökkentheti a mai teherviselőkre jutó kiadásokat.</w:t>
      </w:r>
    </w:p>
    <w:p w14:paraId="4FB34CD0" w14:textId="7471E107" w:rsidR="00DA5206" w:rsidRDefault="00E106CB" w:rsidP="005A1DDD">
      <w:r>
        <w:rPr>
          <w:noProof/>
          <w:lang w:val="en-US"/>
        </w:rPr>
        <w:drawing>
          <wp:inline distT="0" distB="0" distL="0" distR="0" wp14:anchorId="4FD2C65F" wp14:editId="69CA6A6D">
            <wp:extent cx="5270500" cy="2438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8213E4" w14:textId="16121B70" w:rsidR="00600CD8" w:rsidRDefault="00302788" w:rsidP="005A1DDD">
      <w:r>
        <w:lastRenderedPageBreak/>
        <w:t xml:space="preserve">Jelenleg </w:t>
      </w:r>
      <w:r w:rsidR="00DA5206">
        <w:t>172 ezer</w:t>
      </w:r>
      <w:r>
        <w:t xml:space="preserve"> egyháztagot tartunk nyilván, </w:t>
      </w:r>
      <w:r w:rsidR="005836FC">
        <w:t xml:space="preserve">ezen a körön belül </w:t>
      </w:r>
      <w:r>
        <w:t>az egyházfenntartók</w:t>
      </w:r>
      <w:r w:rsidR="005836FC">
        <w:t xml:space="preserve"> aránya</w:t>
      </w:r>
      <w:r>
        <w:t xml:space="preserve"> </w:t>
      </w:r>
      <w:r w:rsidR="005836FC">
        <w:t xml:space="preserve">folyamatos csökkenést mutatva </w:t>
      </w:r>
      <w:r w:rsidR="00DA5206">
        <w:t>tartósan 50% alatt van.</w:t>
      </w:r>
      <w:r w:rsidR="00600CD8">
        <w:t xml:space="preserve"> Amennyiben közvetlen, gyülekezeti testvérektől és az Egyháztól is érkező megszólítással, vagyis belső missziói munkával el tudjuk érni, hogy középtávon (fél évtizedes távlatban) ötödével növekedjen az egyháztagok között az egyházfenntartók száma</w:t>
      </w:r>
      <w:r w:rsidR="00DA5206">
        <w:t xml:space="preserve"> (vagyis közelítsük meg a 60%-os arányt)</w:t>
      </w:r>
      <w:r w:rsidR="00600CD8">
        <w:t>, az nem csupán ellensúlyozná a népmozgalmi negatív tendenciákat, de mintegy 300MFt többletbevételt is hozna.</w:t>
      </w:r>
      <w:r w:rsidR="00DA5206">
        <w:t xml:space="preserve"> </w:t>
      </w:r>
      <w:r w:rsidR="00600CD8">
        <w:t xml:space="preserve">Vagyis, missziós és gyülekezetépítési hatékonyságunk </w:t>
      </w:r>
      <w:r w:rsidR="00DA5206">
        <w:t>ezzel a materiális, de a hívek részéről világos érték-preferenciákat kifejező adattal is mérhető volna.</w:t>
      </w:r>
    </w:p>
    <w:p w14:paraId="4D193CCE" w14:textId="745F03D8" w:rsidR="00861194" w:rsidRDefault="00CD3AE1" w:rsidP="005A1DDD">
      <w:r>
        <w:rPr>
          <w:noProof/>
          <w:lang w:val="en-US"/>
        </w:rPr>
        <w:drawing>
          <wp:inline distT="0" distB="0" distL="0" distR="0" wp14:anchorId="7C23742B" wp14:editId="650B2BDE">
            <wp:extent cx="5270500" cy="2171700"/>
            <wp:effectExtent l="0" t="0" r="12700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70E8EF2" w14:textId="0A9DE5A0" w:rsidR="00195B65" w:rsidRDefault="00195B65" w:rsidP="005A1DDD">
      <w:r>
        <w:t>Minderre</w:t>
      </w:r>
      <w:r w:rsidR="0012687C">
        <w:t xml:space="preserve"> a következő évtized végére előrevetíthető trendek alapján feltétlenül szükségünk van. Az emberi számítással mérhető </w:t>
      </w:r>
      <w:r w:rsidR="007F14DC">
        <w:t xml:space="preserve">folyamatok a keresztelések/konfirmációk/elhalálozások adatit nagyon optimistán meghosszabbítva mintegy </w:t>
      </w:r>
      <w:r w:rsidR="00A87A85">
        <w:t>23</w:t>
      </w:r>
      <w:r w:rsidR="007F14DC">
        <w:t>ezer új egyháztag</w:t>
      </w:r>
      <w:r w:rsidR="00A87A85">
        <w:t>ot</w:t>
      </w:r>
      <w:r w:rsidR="007F14DC">
        <w:t xml:space="preserve"> és </w:t>
      </w:r>
      <w:r w:rsidR="00A87A85">
        <w:t>39ezres halálozási veszteséget egymásra vetítve, a kilépésektől/elmaradásoktól el is tekintve, oda vezetnek, hogy 2030-ra  hetvenezer alá csökkenhet az egyházfenntartók száma.</w:t>
      </w:r>
    </w:p>
    <w:p w14:paraId="439DF823" w14:textId="7627814F" w:rsidR="00262F47" w:rsidRDefault="00A87A85" w:rsidP="005A1DDD">
      <w:pPr>
        <w:rPr>
          <w:i/>
        </w:rPr>
      </w:pPr>
      <w:r>
        <w:rPr>
          <w:noProof/>
          <w:lang w:val="en-US"/>
        </w:rPr>
        <w:drawing>
          <wp:inline distT="0" distB="0" distL="0" distR="0" wp14:anchorId="6498A5BD" wp14:editId="1561D3E8">
            <wp:extent cx="5372100" cy="2628900"/>
            <wp:effectExtent l="0" t="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06E2445" w14:textId="19496221" w:rsidR="00CC0DBB" w:rsidRDefault="00CC0DBB" w:rsidP="005A1DDD">
      <w:r w:rsidRPr="00CC0DBB">
        <w:t>Természetese</w:t>
      </w:r>
      <w:r>
        <w:t>n</w:t>
      </w:r>
      <w:r w:rsidRPr="00CC0DBB">
        <w:t xml:space="preserve"> ez valóban csak az emberi számítás.</w:t>
      </w:r>
      <w:r>
        <w:t xml:space="preserve"> Egy új ébredési időszak,</w:t>
      </w:r>
      <w:r w:rsidR="00A135C9">
        <w:t xml:space="preserve"> a Szentlélek felrázó működése új életet adhat Egyházunknak is, amiért imádsággal kell könyörögnünk. Emelletti dolgunk, </w:t>
      </w:r>
      <w:r w:rsidR="00A135C9">
        <w:lastRenderedPageBreak/>
        <w:t>hogy amint csak erőnkből telik, tisztítsuk meg az utat a Gondviselés számára a szívünkhöz és szervezeti állapotaink nyomorúságainak feloldásához.</w:t>
      </w:r>
    </w:p>
    <w:p w14:paraId="51C1F7B9" w14:textId="77777777" w:rsidR="00A135C9" w:rsidRPr="00CC0DBB" w:rsidRDefault="00A135C9" w:rsidP="005A1DDD"/>
    <w:p w14:paraId="1E453CFF" w14:textId="77777777" w:rsidR="00262F47" w:rsidRPr="00262F47" w:rsidRDefault="00262F47" w:rsidP="005A1DDD">
      <w:pPr>
        <w:rPr>
          <w:i/>
        </w:rPr>
      </w:pPr>
      <w:r w:rsidRPr="00262F47">
        <w:rPr>
          <w:i/>
        </w:rPr>
        <w:t xml:space="preserve">b; intézmények és gyülekezetek </w:t>
      </w:r>
    </w:p>
    <w:p w14:paraId="6141B3CA" w14:textId="77777777" w:rsidR="008E0BA8" w:rsidRDefault="008E0BA8" w:rsidP="005A1DDD">
      <w:r>
        <w:t xml:space="preserve">Feltárandóak azok a lehetőségek, amelyet ma is több gyülekezetünk alkalmaz: az intézményekkel való gazdálkodási együttműködés. A törvényes keretek betartásával a tapasztalatok szerint többféle működési költségelem is </w:t>
      </w:r>
      <w:r w:rsidR="00262F47">
        <w:t>megosztható. A jó gyakorlatok megismerése és alkalmazása a gyülekezetfenntartást segítheti.</w:t>
      </w:r>
    </w:p>
    <w:p w14:paraId="309B2C38" w14:textId="77777777" w:rsidR="00516711" w:rsidRDefault="00516711" w:rsidP="005A1DDD">
      <w:pPr>
        <w:rPr>
          <w:i/>
        </w:rPr>
      </w:pPr>
    </w:p>
    <w:p w14:paraId="4BFC2008" w14:textId="77777777" w:rsidR="00262F47" w:rsidRPr="00EE0B1D" w:rsidRDefault="00262F47" w:rsidP="00AC5733">
      <w:pPr>
        <w:keepNext/>
        <w:rPr>
          <w:i/>
        </w:rPr>
      </w:pPr>
      <w:r w:rsidRPr="00EE0B1D">
        <w:rPr>
          <w:i/>
        </w:rPr>
        <w:t>c; működési racionalizálás– ingatlanok</w:t>
      </w:r>
    </w:p>
    <w:p w14:paraId="2265BBE2" w14:textId="77777777" w:rsidR="00E7625F" w:rsidRDefault="00E7625F" w:rsidP="00E7625F">
      <w:pPr>
        <w:ind w:left="142" w:hanging="142"/>
      </w:pPr>
      <w:r>
        <w:t xml:space="preserve">1. </w:t>
      </w:r>
      <w:r w:rsidR="00EE0B1D">
        <w:t xml:space="preserve">A LÉM megvalósítása szembesít minket gyülekezeteink valós </w:t>
      </w:r>
      <w:r w:rsidR="00CF18CC">
        <w:t>lelkész-ta</w:t>
      </w:r>
      <w:r w:rsidR="00EE0B1D">
        <w:t>rtó</w:t>
      </w:r>
      <w:r w:rsidR="00CF18CC">
        <w:t xml:space="preserve"> </w:t>
      </w:r>
      <w:r w:rsidR="00EE0B1D">
        <w:t>képességével.</w:t>
      </w:r>
      <w:r w:rsidR="00CF18CC">
        <w:t xml:space="preserve"> A gyülekezet-építés és működtetés számára azonban ez olyan kényszerpálya</w:t>
      </w:r>
      <w:r w:rsidR="00FD1A3E">
        <w:t>, ami teológiailag is megalapo</w:t>
      </w:r>
      <w:r w:rsidR="00CF18CC">
        <w:t xml:space="preserve">zott laikus részvétel újragondolására hívja fel a figyelmet, sőt, a gyülekezeti létforma alapkérdéseit </w:t>
      </w:r>
      <w:r w:rsidR="00FD1A3E">
        <w:t xml:space="preserve">veti </w:t>
      </w:r>
      <w:r w:rsidR="00CF18CC">
        <w:t xml:space="preserve"> </w:t>
      </w:r>
      <w:r w:rsidR="00FD1A3E">
        <w:t>fel.</w:t>
      </w:r>
      <w:r w:rsidR="00CF18CC">
        <w:t xml:space="preserve"> A</w:t>
      </w:r>
      <w:r w:rsidR="00800484">
        <w:t>z</w:t>
      </w:r>
      <w:r w:rsidR="00CF18CC">
        <w:t xml:space="preserve"> </w:t>
      </w:r>
      <w:r w:rsidR="00FD1A3E">
        <w:t xml:space="preserve">önfelelősség elve itt közvetlenül is megjelenik, összekapcsolva a lutheránus elvű egyházszervezet érvényesítésével. Ha </w:t>
      </w:r>
      <w:r w:rsidR="00800484">
        <w:t xml:space="preserve">a gyülekezet ereje nem elegendő egy lelkész tartására, de a világiak képesek (a </w:t>
      </w:r>
      <w:proofErr w:type="spellStart"/>
      <w:r w:rsidR="00800484">
        <w:t>kazuáliákon</w:t>
      </w:r>
      <w:proofErr w:type="spellEnd"/>
      <w:r w:rsidR="00800484">
        <w:t xml:space="preserve"> kívül) a vezetésére, akkor az gazdasági önállóság feltételrendszere is megváltozik.</w:t>
      </w:r>
      <w:r>
        <w:t xml:space="preserve"> </w:t>
      </w:r>
    </w:p>
    <w:p w14:paraId="33E592F0" w14:textId="77777777" w:rsidR="00EE0B1D" w:rsidRDefault="00E7625F" w:rsidP="00E7625F">
      <w:pPr>
        <w:ind w:left="142" w:hanging="142"/>
      </w:pPr>
      <w:r>
        <w:t>2. M</w:t>
      </w:r>
      <w:r w:rsidR="00EE0B1D">
        <w:t>ár jól működő modellek alakultak a pénzügyi menedzsment hatékony megoldására</w:t>
      </w:r>
      <w:r>
        <w:t xml:space="preserve"> gyülekezetek akár egyházmegyei szintű összefogásában</w:t>
      </w:r>
      <w:r w:rsidR="00EE0B1D">
        <w:t xml:space="preserve">, aminek </w:t>
      </w:r>
      <w:r>
        <w:t xml:space="preserve">egyfelől megtakarítási, másfelől </w:t>
      </w:r>
      <w:proofErr w:type="spellStart"/>
      <w:r>
        <w:t>professzionalizálódási</w:t>
      </w:r>
      <w:proofErr w:type="spellEnd"/>
      <w:r>
        <w:t xml:space="preserve"> (tehát </w:t>
      </w:r>
      <w:proofErr w:type="spellStart"/>
      <w:r>
        <w:t>megintcsak</w:t>
      </w:r>
      <w:proofErr w:type="spellEnd"/>
      <w:r>
        <w:t xml:space="preserve"> finanszírozási könnyebbséggel járó) eredménye lehet. </w:t>
      </w:r>
    </w:p>
    <w:p w14:paraId="0942BFC2" w14:textId="7061552C" w:rsidR="00ED3DF2" w:rsidRDefault="00E7625F" w:rsidP="00E7625F">
      <w:pPr>
        <w:ind w:left="142" w:hanging="142"/>
      </w:pPr>
      <w:r>
        <w:t xml:space="preserve">3. </w:t>
      </w:r>
      <w:r w:rsidR="00262F47">
        <w:t>Külön komplex kérdés a gyülekezetek tula</w:t>
      </w:r>
      <w:r w:rsidR="00F419C7">
        <w:t>j</w:t>
      </w:r>
      <w:r w:rsidR="00262F47">
        <w:t xml:space="preserve">donában lévő ingatlanok gazdasági vonatkozása. </w:t>
      </w:r>
      <w:r w:rsidR="00F419C7">
        <w:t xml:space="preserve">Az épületek megőrzése, különösen, ha felszentelt hitéleti helyekről van szó, igen érzékeny ügy, de erről is el kell kezdeni beszélni: azaz a gyülekezet nélkül maradt illetve maradó templomok sorsát nem szabad az enyészet és a szükséghelyzetek kezébe adni, hanem </w:t>
      </w:r>
      <w:r w:rsidR="006E1C48">
        <w:t xml:space="preserve">az </w:t>
      </w:r>
      <w:r w:rsidR="00F419C7">
        <w:t>a gyülekezetek saját</w:t>
      </w:r>
      <w:r w:rsidR="00ED3DF2">
        <w:t xml:space="preserve"> felelős döntése kell, legyen. Jelen témakör szempontjából itt csak annyit említünk, hogy </w:t>
      </w:r>
      <w:r w:rsidR="006E1C48">
        <w:t xml:space="preserve">az ésszerű megoldásoknak </w:t>
      </w:r>
      <w:r w:rsidR="00ED3DF2">
        <w:t>közvetlen finanszírozási hatása van</w:t>
      </w:r>
      <w:r w:rsidR="006E1C48">
        <w:t>,</w:t>
      </w:r>
      <w:r w:rsidR="00ED3DF2">
        <w:t xml:space="preserve"> akár a kiadás-csökkené</w:t>
      </w:r>
      <w:r w:rsidR="009A5072">
        <w:t>s, akár a bevétel-növekedés ere</w:t>
      </w:r>
      <w:r w:rsidR="00ED3DF2">
        <w:t>d</w:t>
      </w:r>
      <w:r w:rsidR="009A5072">
        <w:t>m</w:t>
      </w:r>
      <w:r w:rsidR="00ED3DF2">
        <w:t>ényeképpen.</w:t>
      </w:r>
    </w:p>
    <w:p w14:paraId="60C31C4A" w14:textId="0C6049E8" w:rsidR="00262F47" w:rsidRPr="00EE0B1D" w:rsidRDefault="00E7625F" w:rsidP="00E7625F">
      <w:pPr>
        <w:ind w:left="142" w:hanging="142"/>
      </w:pPr>
      <w:r>
        <w:t xml:space="preserve">4. </w:t>
      </w:r>
      <w:r w:rsidR="00F3344D" w:rsidRPr="00EE0B1D">
        <w:t>Az ingatlangazdál</w:t>
      </w:r>
      <w:r w:rsidR="00672456" w:rsidRPr="00EE0B1D">
        <w:t xml:space="preserve">kodás </w:t>
      </w:r>
      <w:r w:rsidR="00B76913" w:rsidRPr="00EE0B1D">
        <w:t xml:space="preserve">folyamatosan felmerülő kérdése az energetikai és használati szempontú fenntarthatóság. </w:t>
      </w:r>
      <w:r w:rsidR="00EE0B1D">
        <w:t>Ezt, összekötve a gépjármű-parkunk áttekintésével, a</w:t>
      </w:r>
      <w:r w:rsidR="00B76913" w:rsidRPr="00EE0B1D">
        <w:t xml:space="preserve">z eseti és esetleges korszerűsítések helyett célszerű volna </w:t>
      </w:r>
      <w:r w:rsidR="00B76913" w:rsidRPr="006E1C48">
        <w:rPr>
          <w:b/>
          <w:i/>
        </w:rPr>
        <w:t>a teljes egyházi célra használt e</w:t>
      </w:r>
      <w:r w:rsidR="00EE0B1D" w:rsidRPr="006E1C48">
        <w:rPr>
          <w:b/>
          <w:i/>
        </w:rPr>
        <w:t xml:space="preserve">vangélikus épületállomány országos és évtizedes léptékű fejlesztési programját kidolgozni, majd </w:t>
      </w:r>
      <w:r w:rsidR="006E1C48">
        <w:rPr>
          <w:b/>
          <w:i/>
        </w:rPr>
        <w:t xml:space="preserve">alapvetően </w:t>
      </w:r>
      <w:r w:rsidR="00EE0B1D" w:rsidRPr="006E1C48">
        <w:rPr>
          <w:b/>
          <w:i/>
        </w:rPr>
        <w:t>közösségi forrásokat felhasználva megvalósítani</w:t>
      </w:r>
      <w:r w:rsidR="00EE0B1D" w:rsidRPr="00EE0B1D">
        <w:t xml:space="preserve">. Ebben a templomokat kivéve </w:t>
      </w:r>
      <w:r w:rsidR="00B5414A">
        <w:t xml:space="preserve">(vagy megfelelő technika esetén velük együtt) </w:t>
      </w:r>
      <w:r w:rsidR="00EE0B1D" w:rsidRPr="00EE0B1D">
        <w:t xml:space="preserve">lényegében az épületek nulla-energiás újraépítése történne meg. </w:t>
      </w:r>
      <w:r w:rsidR="00F419C7" w:rsidRPr="00EE0B1D">
        <w:t xml:space="preserve">A templomok </w:t>
      </w:r>
      <w:r w:rsidR="00F419C7" w:rsidRPr="00EE0B1D">
        <w:lastRenderedPageBreak/>
        <w:t xml:space="preserve">pedig </w:t>
      </w:r>
      <w:r w:rsidR="00EE0B1D" w:rsidRPr="00EE0B1D">
        <w:t>az adott környék átfogó fenntarthatósági fejlesztésének lennének a bázisai belső tereikkel, nagyméretű felületeikkel, kedvező elhelyezkedésükkel.</w:t>
      </w:r>
    </w:p>
    <w:p w14:paraId="3821202B" w14:textId="77777777" w:rsidR="00BF1C99" w:rsidRDefault="00BF1C99" w:rsidP="005A1DDD"/>
    <w:p w14:paraId="69DBF0ED" w14:textId="77777777" w:rsidR="00586139" w:rsidRPr="00E7625F" w:rsidRDefault="005A1DDD">
      <w:pPr>
        <w:rPr>
          <w:b/>
          <w:u w:val="single"/>
        </w:rPr>
      </w:pPr>
      <w:r w:rsidRPr="00E7625F">
        <w:rPr>
          <w:b/>
          <w:u w:val="single"/>
        </w:rPr>
        <w:t>IV</w:t>
      </w:r>
      <w:r w:rsidR="00586139" w:rsidRPr="00E7625F">
        <w:rPr>
          <w:b/>
          <w:u w:val="single"/>
        </w:rPr>
        <w:t>. Az 1%-os felajánlások mértékének növelése</w:t>
      </w:r>
    </w:p>
    <w:p w14:paraId="35B6B619" w14:textId="2F465160" w:rsidR="00586139" w:rsidRDefault="00516711">
      <w:r>
        <w:t xml:space="preserve">A személyi jövedelemadóból származó 1%-os felajánlások rendszerének fennmaradása esetén további tartalékok állnak rendelkezésre az egyház finanszírozására. A jelenlegi felajánlott összeg reálisan, több év távlatában mintegy 30-40%-kal növelhető, vagyis </w:t>
      </w:r>
      <w:r w:rsidR="00C93410">
        <w:t xml:space="preserve">70-80 </w:t>
      </w:r>
      <w:proofErr w:type="spellStart"/>
      <w:r w:rsidR="00C93410">
        <w:t>MFt-ra</w:t>
      </w:r>
      <w:proofErr w:type="spellEnd"/>
      <w:r w:rsidR="00C93410">
        <w:t>, tehát a teljes költségvetési igény  mintegy másfél-két százalékára lehet ebből számítani (az állami kiegészítések</w:t>
      </w:r>
      <w:r w:rsidR="002A02A9">
        <w:t xml:space="preserve"> mér</w:t>
      </w:r>
      <w:r w:rsidR="00302788">
        <w:t>t</w:t>
      </w:r>
      <w:r w:rsidR="002A02A9">
        <w:t>é</w:t>
      </w:r>
      <w:r w:rsidR="00302788">
        <w:t xml:space="preserve">ke mindig külső döntéstől függ, ezért azzal </w:t>
      </w:r>
      <w:r w:rsidR="002A02A9">
        <w:t>a tervezésben nem számolunk</w:t>
      </w:r>
      <w:r w:rsidR="00C93410">
        <w:t xml:space="preserve">). </w:t>
      </w:r>
      <w:r w:rsidR="002A02A9">
        <w:t>Mindez az országos egyházi gazdálkodásban érdemben hozzájárul egyházi működésünkhöz.</w:t>
      </w:r>
      <w:r w:rsidR="00C93410">
        <w:t xml:space="preserve"> </w:t>
      </w:r>
      <w:r w:rsidR="002A02A9">
        <w:t>A</w:t>
      </w:r>
      <w:r w:rsidR="00C93410">
        <w:t xml:space="preserve"> hasonló mér</w:t>
      </w:r>
      <w:r w:rsidR="002A02A9">
        <w:t>tékű a „második 1%” növelése</w:t>
      </w:r>
      <w:r w:rsidR="00C93410">
        <w:t xml:space="preserve"> gyülekezeti </w:t>
      </w:r>
      <w:r w:rsidR="002A02A9">
        <w:t xml:space="preserve">és intézményi </w:t>
      </w:r>
      <w:r w:rsidR="00C93410">
        <w:t>szinten érdemi forrásbővülést jelenthet.</w:t>
      </w:r>
    </w:p>
    <w:p w14:paraId="3D74BC8B" w14:textId="77777777" w:rsidR="00C93410" w:rsidRDefault="00C93410">
      <w:r>
        <w:t>Az 1%-os bevételek tekintetében különösen fontos Egyházunk társadalmi jelenléte, elfogadottsága, valamint professzionális kommunikációja. Azonban itt is feladat a belső egyházi közvélemény elérése, hiszen feltehetően egyháztagjaink legfeljebb egyötöde él az 1%-os lehetőséggel. Harmadik irányként  az intézményeinken keresztül elérhető adózók (egyfelől az alkalmazottak, másfelől a szülők hozzátartozók) körében az eddigieknél kevésbé szemérmes megszólítási csatornák alkalmazása.</w:t>
      </w:r>
    </w:p>
    <w:p w14:paraId="4271E3B5" w14:textId="77777777" w:rsidR="00726F72" w:rsidRDefault="00726F72">
      <w:r>
        <w:t>Ezen a területen a forrásteremtési potenciálunkat mutatja egy összehasonlító adatsor: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33"/>
        <w:gridCol w:w="949"/>
        <w:gridCol w:w="845"/>
        <w:gridCol w:w="864"/>
        <w:gridCol w:w="884"/>
        <w:gridCol w:w="799"/>
        <w:gridCol w:w="884"/>
        <w:gridCol w:w="799"/>
        <w:gridCol w:w="1059"/>
      </w:tblGrid>
      <w:tr w:rsidR="00AC5733" w:rsidRPr="00AC5733" w14:paraId="1740AD92" w14:textId="77777777" w:rsidTr="00AC5733">
        <w:trPr>
          <w:trHeight w:val="58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6DF9" w14:textId="77777777" w:rsidR="00AC5733" w:rsidRPr="00AC5733" w:rsidRDefault="00AC5733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AC5733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AD6C" w14:textId="77777777" w:rsidR="00AC5733" w:rsidRPr="00AC5733" w:rsidRDefault="00AC5733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AC5733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B20C" w14:textId="77777777" w:rsidR="00AC5733" w:rsidRPr="00AC5733" w:rsidRDefault="00AC5733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AC5733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3778" w14:textId="77777777" w:rsidR="00AC5733" w:rsidRPr="00AC5733" w:rsidRDefault="00AC5733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AC5733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888F0E1" w14:textId="77777777" w:rsidR="00AC5733" w:rsidRPr="00AC5733" w:rsidRDefault="00AC5733" w:rsidP="00FD76B4">
            <w:pPr>
              <w:tabs>
                <w:tab w:val="clear" w:pos="567"/>
              </w:tabs>
              <w:spacing w:before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C5733">
              <w:rPr>
                <w:sz w:val="20"/>
                <w:szCs w:val="20"/>
                <w:lang w:val="en-US" w:eastAsia="en-US"/>
              </w:rPr>
              <w:t>2017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88DAC00" w14:textId="77777777" w:rsidR="00AC5733" w:rsidRPr="00AC5733" w:rsidRDefault="00AC5733" w:rsidP="00AC5733">
            <w:pPr>
              <w:tabs>
                <w:tab w:val="clear" w:pos="567"/>
              </w:tabs>
              <w:spacing w:before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C5733">
              <w:rPr>
                <w:sz w:val="20"/>
                <w:szCs w:val="20"/>
                <w:lang w:val="en-US" w:eastAsia="en-US"/>
              </w:rPr>
              <w:t>2018 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41AF" w14:textId="77777777" w:rsidR="00AC5733" w:rsidRPr="00AC5733" w:rsidRDefault="00AC5733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AC5733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FD76B4" w:rsidRPr="00AC5733" w14:paraId="043D5E49" w14:textId="77777777" w:rsidTr="00AC5733">
        <w:trPr>
          <w:trHeight w:val="128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6919" w14:textId="77777777" w:rsidR="00FD76B4" w:rsidRPr="00AC5733" w:rsidRDefault="00FD76B4" w:rsidP="00AC5733">
            <w:pPr>
              <w:tabs>
                <w:tab w:val="clear" w:pos="567"/>
              </w:tabs>
              <w:spacing w:before="0" w:line="240" w:lineRule="auto"/>
              <w:jc w:val="center"/>
              <w:rPr>
                <w:sz w:val="18"/>
                <w:szCs w:val="20"/>
                <w:lang w:val="en-US" w:eastAsia="en-U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9A42" w14:textId="77777777" w:rsidR="00FD76B4" w:rsidRPr="00AC5733" w:rsidRDefault="00FD76B4" w:rsidP="00AC5733">
            <w:pPr>
              <w:tabs>
                <w:tab w:val="clear" w:pos="567"/>
              </w:tabs>
              <w:spacing w:before="0" w:line="240" w:lineRule="auto"/>
              <w:jc w:val="center"/>
              <w:rPr>
                <w:sz w:val="18"/>
                <w:szCs w:val="20"/>
                <w:lang w:val="en-US" w:eastAsia="en-US"/>
              </w:rPr>
            </w:pPr>
            <w:r w:rsidRPr="00AC5733">
              <w:rPr>
                <w:sz w:val="18"/>
                <w:szCs w:val="20"/>
                <w:lang w:val="en-US" w:eastAsia="en-US"/>
              </w:rPr>
              <w:t xml:space="preserve">2011-es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népszámlálás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14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éven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felüliek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95F7" w14:textId="77777777" w:rsidR="00FD76B4" w:rsidRPr="00AC5733" w:rsidRDefault="00FD76B4" w:rsidP="00AC5733">
            <w:pPr>
              <w:tabs>
                <w:tab w:val="clear" w:pos="567"/>
              </w:tabs>
              <w:spacing w:before="0" w:line="240" w:lineRule="auto"/>
              <w:jc w:val="center"/>
              <w:rPr>
                <w:sz w:val="18"/>
                <w:szCs w:val="20"/>
                <w:lang w:val="en-US" w:eastAsia="en-US"/>
              </w:rPr>
            </w:pPr>
            <w:r w:rsidRPr="00AC5733">
              <w:rPr>
                <w:sz w:val="18"/>
                <w:szCs w:val="20"/>
                <w:lang w:val="en-US" w:eastAsia="en-US"/>
              </w:rPr>
              <w:t xml:space="preserve">2017-es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felajánlók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0337" w14:textId="77777777" w:rsidR="00FD76B4" w:rsidRPr="00AC5733" w:rsidRDefault="00FD76B4" w:rsidP="00AC5733">
            <w:pPr>
              <w:tabs>
                <w:tab w:val="clear" w:pos="567"/>
              </w:tabs>
              <w:spacing w:before="0" w:line="240" w:lineRule="auto"/>
              <w:jc w:val="center"/>
              <w:rPr>
                <w:sz w:val="18"/>
                <w:szCs w:val="20"/>
                <w:lang w:val="en-US" w:eastAsia="en-US"/>
              </w:rPr>
            </w:pPr>
            <w:r w:rsidRPr="00AC5733">
              <w:rPr>
                <w:sz w:val="18"/>
                <w:szCs w:val="20"/>
                <w:lang w:val="en-US" w:eastAsia="en-US"/>
              </w:rPr>
              <w:t xml:space="preserve">2018-as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felajánlók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0B1" w14:textId="77777777" w:rsidR="00FD76B4" w:rsidRPr="00AC5733" w:rsidRDefault="00FD76B4" w:rsidP="00AC5733">
            <w:pPr>
              <w:tabs>
                <w:tab w:val="clear" w:pos="567"/>
              </w:tabs>
              <w:spacing w:before="0" w:line="240" w:lineRule="auto"/>
              <w:jc w:val="center"/>
              <w:rPr>
                <w:sz w:val="18"/>
                <w:szCs w:val="20"/>
                <w:lang w:val="en-US" w:eastAsia="en-US"/>
              </w:rPr>
            </w:pP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Felajánlók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és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egyházhoz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tartozók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aránya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DCBA" w14:textId="77777777" w:rsidR="00FD76B4" w:rsidRPr="00AC5733" w:rsidRDefault="00FD76B4" w:rsidP="00AC5733">
            <w:pPr>
              <w:tabs>
                <w:tab w:val="clear" w:pos="567"/>
              </w:tabs>
              <w:spacing w:before="0" w:line="240" w:lineRule="auto"/>
              <w:jc w:val="center"/>
              <w:rPr>
                <w:sz w:val="18"/>
                <w:szCs w:val="20"/>
                <w:lang w:val="en-US" w:eastAsia="en-US"/>
              </w:rPr>
            </w:pP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Arány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gramStart"/>
            <w:r w:rsidRPr="00AC5733">
              <w:rPr>
                <w:sz w:val="18"/>
                <w:szCs w:val="20"/>
                <w:lang w:val="en-US" w:eastAsia="en-US"/>
              </w:rPr>
              <w:t xml:space="preserve">a 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nagyobb</w:t>
            </w:r>
            <w:proofErr w:type="spellEnd"/>
            <w:proofErr w:type="gram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egyházi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felajánlók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között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B119" w14:textId="77777777" w:rsidR="00FD76B4" w:rsidRPr="00AC5733" w:rsidRDefault="00FD76B4" w:rsidP="00AC5733">
            <w:pPr>
              <w:tabs>
                <w:tab w:val="clear" w:pos="567"/>
              </w:tabs>
              <w:spacing w:before="0" w:line="240" w:lineRule="auto"/>
              <w:jc w:val="center"/>
              <w:rPr>
                <w:sz w:val="18"/>
                <w:szCs w:val="20"/>
                <w:lang w:val="en-US" w:eastAsia="en-US"/>
              </w:rPr>
            </w:pP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Felajánlók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és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egyházhoz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tartozók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aránya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EAA5" w14:textId="77777777" w:rsidR="00FD76B4" w:rsidRPr="00AC5733" w:rsidRDefault="00FD76B4" w:rsidP="00AC5733">
            <w:pPr>
              <w:tabs>
                <w:tab w:val="clear" w:pos="567"/>
              </w:tabs>
              <w:spacing w:before="0" w:line="240" w:lineRule="auto"/>
              <w:jc w:val="center"/>
              <w:rPr>
                <w:sz w:val="18"/>
                <w:szCs w:val="20"/>
                <w:lang w:val="en-US" w:eastAsia="en-US"/>
              </w:rPr>
            </w:pP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Arány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a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nagyobb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egyházi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felajánlók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között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B277843" w14:textId="77777777" w:rsidR="00FD76B4" w:rsidRPr="00AC5733" w:rsidRDefault="00FD76B4" w:rsidP="00AC5733">
            <w:pPr>
              <w:tabs>
                <w:tab w:val="clear" w:pos="567"/>
              </w:tabs>
              <w:spacing w:before="0" w:line="240" w:lineRule="auto"/>
              <w:jc w:val="center"/>
              <w:rPr>
                <w:sz w:val="18"/>
                <w:szCs w:val="20"/>
                <w:lang w:val="en-US" w:eastAsia="en-US"/>
              </w:rPr>
            </w:pPr>
            <w:r w:rsidRPr="00AC5733">
              <w:rPr>
                <w:sz w:val="18"/>
                <w:szCs w:val="20"/>
                <w:lang w:val="en-US" w:eastAsia="en-US"/>
              </w:rPr>
              <w:t xml:space="preserve">2011-es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népszámlálás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arányai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a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valláshoz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tartozó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14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éven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felüliek</w:t>
            </w:r>
            <w:proofErr w:type="spellEnd"/>
            <w:r w:rsidRPr="00AC5733">
              <w:rPr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AC5733">
              <w:rPr>
                <w:sz w:val="18"/>
                <w:szCs w:val="20"/>
                <w:lang w:val="en-US" w:eastAsia="en-US"/>
              </w:rPr>
              <w:t>között</w:t>
            </w:r>
            <w:proofErr w:type="spellEnd"/>
          </w:p>
        </w:tc>
      </w:tr>
      <w:tr w:rsidR="00FD76B4" w:rsidRPr="00AC5733" w14:paraId="01A401A0" w14:textId="77777777" w:rsidTr="00AC5733">
        <w:trPr>
          <w:trHeight w:val="36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5FC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AC5733">
              <w:rPr>
                <w:sz w:val="18"/>
                <w:szCs w:val="18"/>
                <w:lang w:val="en-US" w:eastAsia="en-US"/>
              </w:rPr>
              <w:t>MAGYAR KATOLIKUS EGYHÁZ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F89E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3 403 248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9798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537 027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8605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526 339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6BEC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15,78%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0B2F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58,86%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EABC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15,47%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EDEA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57,35%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11E5A7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71,45%</w:t>
            </w:r>
          </w:p>
        </w:tc>
      </w:tr>
      <w:tr w:rsidR="00FD76B4" w:rsidRPr="00AC5733" w14:paraId="0B9CCB36" w14:textId="77777777" w:rsidTr="00AC5733">
        <w:trPr>
          <w:trHeight w:val="36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1552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AC5733">
              <w:rPr>
                <w:sz w:val="18"/>
                <w:szCs w:val="18"/>
                <w:lang w:val="en-US" w:eastAsia="en-US"/>
              </w:rPr>
              <w:t xml:space="preserve">MAGYARORSZÁGI REFORMÁTUS EGYHÁZ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9521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1 007 005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C3A7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210 292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C9C1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209 109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B871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20,88%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442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23,05%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DF89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20,77%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5027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22,78%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38C9A6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21,14%</w:t>
            </w:r>
          </w:p>
        </w:tc>
      </w:tr>
      <w:tr w:rsidR="00FD76B4" w:rsidRPr="00AC5733" w14:paraId="01A0CA01" w14:textId="77777777" w:rsidTr="00AC5733">
        <w:trPr>
          <w:trHeight w:val="36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F305" w:fill="FABF8F"/>
            <w:vAlign w:val="center"/>
            <w:hideMark/>
          </w:tcPr>
          <w:p w14:paraId="192C8B4B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AC5733">
              <w:rPr>
                <w:sz w:val="18"/>
                <w:szCs w:val="18"/>
                <w:lang w:val="en-US" w:eastAsia="en-US"/>
              </w:rPr>
              <w:t>MAGYARORSZÁGI EVANGÉLIKUS EGYHÁZ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CE88A52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189 818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F305" w:fill="FABF8F"/>
            <w:noWrap/>
            <w:vAlign w:val="center"/>
            <w:hideMark/>
          </w:tcPr>
          <w:p w14:paraId="600F4FF7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57 607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F305" w:fill="FABF8F"/>
            <w:noWrap/>
            <w:vAlign w:val="center"/>
            <w:hideMark/>
          </w:tcPr>
          <w:p w14:paraId="467BB150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60 036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24E2A33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30,35%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BB59BBA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6,31%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124070F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31,63%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E2FB825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6,54%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7B83A48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3,98%</w:t>
            </w:r>
          </w:p>
        </w:tc>
      </w:tr>
      <w:tr w:rsidR="00FD76B4" w:rsidRPr="00AC5733" w14:paraId="70443082" w14:textId="77777777" w:rsidTr="00AC5733">
        <w:trPr>
          <w:trHeight w:val="36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46C8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AC5733">
              <w:rPr>
                <w:sz w:val="18"/>
                <w:szCs w:val="18"/>
                <w:lang w:val="en-US" w:eastAsia="en-US"/>
              </w:rPr>
              <w:t>MAGYARORSZÁGI BAPTISTA EGYHÁZ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25E7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15 375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B338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24 697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588E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28 177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FC46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160,63%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0E94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2,71%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150F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183,27%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E3B9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3,07%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01130A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0,32%</w:t>
            </w:r>
          </w:p>
        </w:tc>
      </w:tr>
      <w:tr w:rsidR="00FD76B4" w:rsidRPr="00AC5733" w14:paraId="1DFF6430" w14:textId="77777777" w:rsidTr="00AC5733">
        <w:trPr>
          <w:trHeight w:val="36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EF2E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AC5733">
              <w:rPr>
                <w:sz w:val="18"/>
                <w:szCs w:val="18"/>
                <w:lang w:val="en-US" w:eastAsia="en-US"/>
              </w:rPr>
              <w:t>HIT GYÜLEKEZETE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663F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14 085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2AA5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24 697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EFC8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31 399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9E9A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175,34%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56B4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2,71%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32A5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222,93%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C6D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3,42%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BF1E6E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0,30%</w:t>
            </w:r>
          </w:p>
        </w:tc>
      </w:tr>
      <w:tr w:rsidR="00FD76B4" w:rsidRPr="00AC5733" w14:paraId="4DA2682E" w14:textId="77777777" w:rsidTr="00AC5733">
        <w:trPr>
          <w:trHeight w:val="36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5396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AC5733">
              <w:rPr>
                <w:sz w:val="18"/>
                <w:szCs w:val="18"/>
                <w:lang w:val="en-US" w:eastAsia="en-US"/>
              </w:rPr>
              <w:t>MAGYARORSZÁGI ZSIDÓ HITKÖZSÉGEK SZÖVETSÉGE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8CA4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10 190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3FAE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7 522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B05B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8 268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6B19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73,82%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8855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0,82%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EE15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81,14%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873A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0,90%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508F9E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0,21%</w:t>
            </w:r>
          </w:p>
        </w:tc>
      </w:tr>
      <w:tr w:rsidR="00FD76B4" w:rsidRPr="00AC5733" w14:paraId="39A302AC" w14:textId="77777777" w:rsidTr="00AC5733">
        <w:trPr>
          <w:trHeight w:val="36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86FF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AC5733">
              <w:rPr>
                <w:sz w:val="18"/>
                <w:szCs w:val="18"/>
                <w:lang w:val="en-US" w:eastAsia="en-US"/>
              </w:rPr>
              <w:t>MAGYAR PÜNKÖSDI EGYHÁZ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E01E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7 266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C5ED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7 522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E592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6 242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EF06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103,52%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A2FC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0,82%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3CF2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85,91%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783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0,68%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7BD4E4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0,15%</w:t>
            </w:r>
          </w:p>
        </w:tc>
      </w:tr>
      <w:tr w:rsidR="00FD76B4" w:rsidRPr="00AC5733" w14:paraId="2C9E9C64" w14:textId="77777777" w:rsidTr="00AC5733">
        <w:trPr>
          <w:trHeight w:val="36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6424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AC5733">
              <w:rPr>
                <w:sz w:val="18"/>
                <w:szCs w:val="18"/>
                <w:lang w:val="en-US" w:eastAsia="en-US"/>
              </w:rPr>
              <w:lastRenderedPageBreak/>
              <w:t>MAGYARORSZÁGI KRISNA-TUDATÚ HÍVŐK KÖZÖSSÉGE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2E2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EEB7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40 632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E1C9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46 198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A6E0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A476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087A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058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5,03%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0982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FD76B4" w:rsidRPr="00AC5733" w14:paraId="163E6601" w14:textId="77777777" w:rsidTr="00AC5733">
        <w:trPr>
          <w:trHeight w:val="36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6BD6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AC5733">
              <w:rPr>
                <w:sz w:val="18"/>
                <w:szCs w:val="18"/>
                <w:lang w:val="en-US" w:eastAsia="en-US"/>
              </w:rPr>
              <w:t>EGYSÉGES MAGYARORSZÁGI IZRAELITA HITKÖZSÉG (STATUSQUO ANTE)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E3D6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3C38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2 343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0205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color w:val="008000"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color w:val="008000"/>
                <w:sz w:val="18"/>
                <w:szCs w:val="18"/>
                <w:lang w:val="en-US" w:eastAsia="en-US"/>
              </w:rPr>
              <w:t>2 048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2CD7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28B1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006B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D4D9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0,22%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9B6" w14:textId="77777777" w:rsidR="00FD76B4" w:rsidRPr="00AC5733" w:rsidRDefault="00FD76B4" w:rsidP="00FD76B4">
            <w:pPr>
              <w:tabs>
                <w:tab w:val="clear" w:pos="567"/>
              </w:tabs>
              <w:spacing w:before="0" w:line="240" w:lineRule="auto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AC5733">
              <w:rPr>
                <w:bCs/>
                <w:sz w:val="18"/>
                <w:szCs w:val="18"/>
                <w:lang w:val="en-US" w:eastAsia="en-US"/>
              </w:rPr>
              <w:t> </w:t>
            </w:r>
          </w:p>
        </w:tc>
      </w:tr>
    </w:tbl>
    <w:p w14:paraId="72DBE3A4" w14:textId="77777777" w:rsidR="00726F72" w:rsidRDefault="00726F72"/>
    <w:p w14:paraId="78B8FC04" w14:textId="77777777" w:rsidR="00C93410" w:rsidRDefault="00C93410"/>
    <w:p w14:paraId="6BA925F4" w14:textId="77777777" w:rsidR="00E7625F" w:rsidRPr="00E7625F" w:rsidRDefault="00E7625F">
      <w:pPr>
        <w:rPr>
          <w:b/>
          <w:u w:val="single"/>
        </w:rPr>
      </w:pPr>
      <w:r w:rsidRPr="00E7625F">
        <w:rPr>
          <w:b/>
          <w:u w:val="single"/>
        </w:rPr>
        <w:t>V. A gazdasági önállósodási program megvalósítása</w:t>
      </w:r>
    </w:p>
    <w:p w14:paraId="5321EF43" w14:textId="77777777" w:rsidR="00E7625F" w:rsidRDefault="00E7625F" w:rsidP="00AC5733">
      <w:pPr>
        <w:ind w:left="284" w:hanging="284"/>
      </w:pPr>
      <w:r>
        <w:t>1. A LÉM bevezetése, a gyülekezet-plántálás értékelése</w:t>
      </w:r>
      <w:r w:rsidR="00C25FD6">
        <w:t xml:space="preserve">, a struktúra-egyszerűsítés folytatása </w:t>
      </w:r>
      <w:r>
        <w:t xml:space="preserve"> illetve a gyülekezeti támogatások újragondolása kikényszeríti, hogy konkrét döntések szülessenek a gyülekezek finanszírozási képességének következményeiről. Ehhez kínál a program fogódzókat illetve ösztön</w:t>
      </w:r>
      <w:r w:rsidR="00C25FD6">
        <w:t>zi a racionális cselekvési terv</w:t>
      </w:r>
      <w:r>
        <w:t>ek, szervezeti lépések megtételét.</w:t>
      </w:r>
    </w:p>
    <w:p w14:paraId="57E4AD4A" w14:textId="77777777" w:rsidR="00C25FD6" w:rsidRDefault="00C25FD6" w:rsidP="00AC5733">
      <w:pPr>
        <w:ind w:left="284" w:hanging="284"/>
      </w:pPr>
      <w:r>
        <w:t>2. A teljeskörű helyzetfeltárás alapján (LÉM, gazdálkodási adatok, népmozgalmi folyamatok)</w:t>
      </w:r>
      <w:r w:rsidR="00707652">
        <w:t xml:space="preserve">, azok eredményeit bemutatva gyülekezetenként és viszonyításokban is, </w:t>
      </w:r>
      <w:r>
        <w:t xml:space="preserve"> indul</w:t>
      </w:r>
      <w:r w:rsidR="00B62115">
        <w:t>jon el egy intenzív kommunikáci</w:t>
      </w:r>
      <w:r>
        <w:t>ó az egyházmegyék koordinálásában a gyülekezetekben és gyülekezetek között</w:t>
      </w:r>
      <w:r w:rsidR="00B62115">
        <w:t xml:space="preserve"> a gazdálkodási önállósodás lényegéről/tartalmáról</w:t>
      </w:r>
      <w:r>
        <w:t>,</w:t>
      </w:r>
      <w:r w:rsidR="00B62115">
        <w:t xml:space="preserve"> a</w:t>
      </w:r>
      <w:r>
        <w:t xml:space="preserve">melyek egyszerre </w:t>
      </w:r>
      <w:r w:rsidR="00B62115">
        <w:t>tartalmazzák a teológiai megfontolások és az egyházszervezeti következmények tudatosítását.</w:t>
      </w:r>
    </w:p>
    <w:p w14:paraId="7AD8C273" w14:textId="77777777" w:rsidR="00B62115" w:rsidRDefault="00B62115" w:rsidP="00AC5733">
      <w:pPr>
        <w:ind w:left="284" w:hanging="284"/>
      </w:pPr>
      <w:r>
        <w:t>3. Az egyházi kommunikációs platformokon a téma kapjon folyamatos és a jó gyakorlatok bemutató publicitást.</w:t>
      </w:r>
    </w:p>
    <w:p w14:paraId="68A8BC6C" w14:textId="77777777" w:rsidR="00B62115" w:rsidRDefault="00B62115" w:rsidP="00AC5733">
      <w:pPr>
        <w:ind w:left="284" w:hanging="284"/>
      </w:pPr>
      <w:r>
        <w:t>4. Ki kell dolgozni a gyülekezeti és egyéni egyházfenntartói áldozatvállalás nyilvántartásának transzparens formáját, ami kellőképpen ösztönző, visszaigazoló, a segítségnyújtásokat megkönnyítő felület, de maximálisan figyelemmel van a személyiségi jogokra és érzékenységekre (például egy egyenkénti, de anonim nyilvántartása a befizetéseknek, ami megfelelően dedikált körben hozzáférhető).</w:t>
      </w:r>
    </w:p>
    <w:p w14:paraId="2C5164CF" w14:textId="77777777" w:rsidR="00516711" w:rsidRDefault="00516711" w:rsidP="00516711">
      <w:pPr>
        <w:jc w:val="left"/>
      </w:pPr>
    </w:p>
    <w:p w14:paraId="2C536DD0" w14:textId="5C97A79A" w:rsidR="00142A24" w:rsidRPr="007C13D1" w:rsidRDefault="007C13D1" w:rsidP="00516711">
      <w:pPr>
        <w:jc w:val="left"/>
        <w:rPr>
          <w:b/>
        </w:rPr>
      </w:pPr>
      <w:r w:rsidRPr="007C13D1">
        <w:rPr>
          <w:b/>
        </w:rPr>
        <w:t xml:space="preserve">VI. </w:t>
      </w:r>
      <w:r w:rsidR="00142A24" w:rsidRPr="007C13D1">
        <w:rPr>
          <w:b/>
        </w:rPr>
        <w:t>Eldöntendő kérdések a Zsinathoz:</w:t>
      </w:r>
    </w:p>
    <w:p w14:paraId="64F0748C" w14:textId="4D25E82A" w:rsidR="00142A24" w:rsidRDefault="00142A24" w:rsidP="00142A24">
      <w:pPr>
        <w:ind w:left="284" w:hanging="284"/>
      </w:pPr>
      <w:r>
        <w:t xml:space="preserve">1. Mivel a Teológiai Bizottságban erről nem volt egyetértés, eldöntendő, hogy a gyülekezetek és egész Egyházunk hitéleti-közösségi működésének gazdasági önfenntartását </w:t>
      </w:r>
      <w:proofErr w:type="spellStart"/>
      <w:r>
        <w:t>teológiai-ekleziológiai</w:t>
      </w:r>
      <w:proofErr w:type="spellEnd"/>
      <w:r>
        <w:t xml:space="preserve"> kérdésnek tekintjük-e, avagy sem?</w:t>
      </w:r>
    </w:p>
    <w:p w14:paraId="17A88E5F" w14:textId="54C742EF" w:rsidR="00142A24" w:rsidRDefault="00142A24" w:rsidP="00142A24">
      <w:pPr>
        <w:ind w:left="284" w:hanging="284"/>
      </w:pPr>
      <w:r>
        <w:t>2.  Helyesnek tartja-e a Zsinat elvi és megvalósíthatósági tekintetben, hogy Egyházunk célul tűzze ki a gyülekezetek és egész Egyházunk hitéleti-közösségi működésének saját erőből történő finanszírozását, nagy hangsúllyal kiemelve a gyülekezetek és az egyháztagok közötti szolidaritás, szükség szerinti teher-átvállalás érvényesülését?</w:t>
      </w:r>
    </w:p>
    <w:p w14:paraId="5BB1DC84" w14:textId="393347BC" w:rsidR="00142A24" w:rsidRDefault="00142A24" w:rsidP="00142A24">
      <w:pPr>
        <w:ind w:left="284" w:hanging="284"/>
      </w:pPr>
      <w:r>
        <w:lastRenderedPageBreak/>
        <w:t>3. Támogatja-e a zsinat, hogy ehhez készüljön részletes, gyülekezeti szintig elemző áttekintés, kapcsolódva a LÉM és a gyülekezeti támogatások rendszerének áttekintésének folyamatát?</w:t>
      </w:r>
    </w:p>
    <w:p w14:paraId="32CB3815" w14:textId="3EC1434B" w:rsidR="00142A24" w:rsidRDefault="00142A24" w:rsidP="00142A24">
      <w:pPr>
        <w:ind w:left="284" w:hanging="284"/>
      </w:pPr>
      <w:r>
        <w:t xml:space="preserve">4. </w:t>
      </w:r>
      <w:r w:rsidR="007C13D1">
        <w:t>Támogatja-e a Zsinat, hogy a gazdasági önállóság és önfelelősség elvének teológiai és gyakorlati vonatkozásairól, megvalósulási jó gyakorlatairól induljon széles körben egyeztetés, kommunikáció a gyülekezeti és országos egyházi fórumokon?</w:t>
      </w:r>
    </w:p>
    <w:p w14:paraId="564A6A01" w14:textId="1FEF6800" w:rsidR="007C13D1" w:rsidRDefault="007C13D1" w:rsidP="00142A24">
      <w:pPr>
        <w:ind w:left="284" w:hanging="284"/>
      </w:pPr>
      <w:r>
        <w:t>5. Támogatja-e a Zsinat, hogy a kormányzattal való tárgyalásokban az anyagban olvasható tagolásban fogalmazzuk meg partnerségi javaslatunkat templomaink, ingatlanaink és közösségi működésünk támogatására?</w:t>
      </w:r>
    </w:p>
    <w:p w14:paraId="4E744F58" w14:textId="0F58A1F8" w:rsidR="007C13D1" w:rsidRDefault="007C13D1" w:rsidP="00142A24">
      <w:pPr>
        <w:ind w:left="284" w:hanging="284"/>
      </w:pPr>
      <w:r>
        <w:t>6. Egyetért-e a Zsinat azzal, hogy az anyagban javasolt számításokat alapul véve, azokat az elemzésekkel pontosítva Egyházunk hirdesse meg a középtávon kívánatosnak tartott áldozatvállalási mértéket egyháztagjaink számára?</w:t>
      </w:r>
    </w:p>
    <w:p w14:paraId="2A572D95" w14:textId="77777777" w:rsidR="00142A24" w:rsidRDefault="00142A24" w:rsidP="00516711">
      <w:pPr>
        <w:jc w:val="left"/>
      </w:pPr>
    </w:p>
    <w:p w14:paraId="4995306A" w14:textId="0C181A8D" w:rsidR="00516711" w:rsidRPr="00516711" w:rsidRDefault="00516711" w:rsidP="00516711">
      <w:pPr>
        <w:jc w:val="left"/>
      </w:pPr>
      <w:r w:rsidRPr="00516711">
        <w:t xml:space="preserve">Budapest, 2019. </w:t>
      </w:r>
      <w:r w:rsidR="002A02A9">
        <w:t>február 15</w:t>
      </w:r>
      <w:r w:rsidRPr="00516711">
        <w:t>.</w:t>
      </w:r>
    </w:p>
    <w:p w14:paraId="0CA977D3" w14:textId="683E15FF" w:rsidR="00997241" w:rsidRDefault="00FC2DE5" w:rsidP="00FC2DE5">
      <w:pPr>
        <w:spacing w:line="240" w:lineRule="auto"/>
        <w:ind w:left="3119"/>
        <w:jc w:val="center"/>
      </w:pPr>
      <w:r>
        <w:rPr>
          <w:noProof/>
          <w:lang w:val="en-US" w:eastAsia="en-US"/>
        </w:rPr>
        <w:drawing>
          <wp:inline distT="0" distB="0" distL="0" distR="0" wp14:anchorId="30DECBED" wp14:editId="1BFE6E1E">
            <wp:extent cx="1595913" cy="7620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_fg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71" cy="76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F3CD4" w14:textId="151BE4A6" w:rsidR="00516711" w:rsidRDefault="00FC2DE5" w:rsidP="00FC2DE5">
      <w:pPr>
        <w:spacing w:before="0"/>
        <w:ind w:left="3119"/>
        <w:jc w:val="center"/>
      </w:pPr>
      <w:r>
        <w:t xml:space="preserve">Dr. </w:t>
      </w:r>
      <w:proofErr w:type="spellStart"/>
      <w:r>
        <w:t>habil</w:t>
      </w:r>
      <w:proofErr w:type="spellEnd"/>
      <w:r>
        <w:t xml:space="preserve"> </w:t>
      </w:r>
      <w:r w:rsidR="00516711" w:rsidRPr="00516711">
        <w:t>Fábri György</w:t>
      </w:r>
    </w:p>
    <w:p w14:paraId="522D5E1E" w14:textId="1D767065" w:rsidR="00997241" w:rsidRDefault="00997241" w:rsidP="00997241">
      <w:pPr>
        <w:ind w:left="3119"/>
        <w:jc w:val="center"/>
      </w:pPr>
      <w:r>
        <w:t>egyházkerületi felügyelő</w:t>
      </w:r>
    </w:p>
    <w:p w14:paraId="31808209" w14:textId="5DF149CF" w:rsidR="00997241" w:rsidRDefault="00997241" w:rsidP="00997241">
      <w:pPr>
        <w:ind w:left="3119"/>
        <w:jc w:val="center"/>
      </w:pPr>
      <w:r>
        <w:t>Magyarországi Evangélikus Egyház Északi Egyházkerület</w:t>
      </w:r>
    </w:p>
    <w:sectPr w:rsidR="00997241" w:rsidSect="004743D1">
      <w:headerReference w:type="default" r:id="rId15"/>
      <w:footerReference w:type="even" r:id="rId16"/>
      <w:foot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6BE16" w14:textId="77777777" w:rsidR="00C2340E" w:rsidRDefault="00C2340E" w:rsidP="00CD3AE1">
      <w:pPr>
        <w:spacing w:before="0" w:line="240" w:lineRule="auto"/>
      </w:pPr>
      <w:r>
        <w:separator/>
      </w:r>
    </w:p>
  </w:endnote>
  <w:endnote w:type="continuationSeparator" w:id="0">
    <w:p w14:paraId="2BFA273E" w14:textId="77777777" w:rsidR="00C2340E" w:rsidRDefault="00C2340E" w:rsidP="00CD3A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 Bold Italic">
    <w:panose1 w:val="020B07060202020A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5B1C" w14:textId="77777777" w:rsidR="00C2340E" w:rsidRDefault="00C2340E" w:rsidP="00A515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1380E" w14:textId="77777777" w:rsidR="00C2340E" w:rsidRDefault="00C234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8EFEC" w14:textId="77777777" w:rsidR="00C2340E" w:rsidRPr="002C6775" w:rsidRDefault="00C2340E" w:rsidP="00A5153C">
    <w:pPr>
      <w:pStyle w:val="Footer"/>
      <w:framePr w:wrap="around" w:vAnchor="text" w:hAnchor="margin" w:xAlign="center" w:y="1"/>
      <w:rPr>
        <w:rStyle w:val="PageNumber"/>
        <w:rFonts w:ascii="Arial Narrow" w:hAnsi="Arial Narrow"/>
        <w:sz w:val="20"/>
        <w:szCs w:val="20"/>
      </w:rPr>
    </w:pPr>
    <w:r w:rsidRPr="002C6775">
      <w:rPr>
        <w:rStyle w:val="PageNumber"/>
        <w:rFonts w:ascii="Arial Narrow" w:hAnsi="Arial Narrow"/>
        <w:sz w:val="20"/>
        <w:szCs w:val="20"/>
      </w:rPr>
      <w:fldChar w:fldCharType="begin"/>
    </w:r>
    <w:r w:rsidRPr="002C6775">
      <w:rPr>
        <w:rStyle w:val="PageNumber"/>
        <w:rFonts w:ascii="Arial Narrow" w:hAnsi="Arial Narrow"/>
        <w:sz w:val="20"/>
        <w:szCs w:val="20"/>
      </w:rPr>
      <w:instrText xml:space="preserve">PAGE  </w:instrText>
    </w:r>
    <w:r w:rsidRPr="002C6775">
      <w:rPr>
        <w:rStyle w:val="PageNumber"/>
        <w:rFonts w:ascii="Arial Narrow" w:hAnsi="Arial Narrow"/>
        <w:sz w:val="20"/>
        <w:szCs w:val="20"/>
      </w:rPr>
      <w:fldChar w:fldCharType="separate"/>
    </w:r>
    <w:r>
      <w:rPr>
        <w:rStyle w:val="PageNumber"/>
        <w:rFonts w:ascii="Arial Narrow" w:hAnsi="Arial Narrow"/>
        <w:noProof/>
        <w:sz w:val="20"/>
        <w:szCs w:val="20"/>
      </w:rPr>
      <w:t>2</w:t>
    </w:r>
    <w:r w:rsidRPr="002C6775">
      <w:rPr>
        <w:rStyle w:val="PageNumber"/>
        <w:rFonts w:ascii="Arial Narrow" w:hAnsi="Arial Narrow"/>
        <w:sz w:val="20"/>
        <w:szCs w:val="20"/>
      </w:rPr>
      <w:fldChar w:fldCharType="end"/>
    </w:r>
  </w:p>
  <w:p w14:paraId="7CEF9235" w14:textId="77777777" w:rsidR="00C2340E" w:rsidRPr="002C6775" w:rsidRDefault="00C2340E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F40D7" w14:textId="77777777" w:rsidR="00C2340E" w:rsidRDefault="00C2340E" w:rsidP="00CD3AE1">
      <w:pPr>
        <w:spacing w:before="0" w:line="240" w:lineRule="auto"/>
      </w:pPr>
      <w:r>
        <w:separator/>
      </w:r>
    </w:p>
  </w:footnote>
  <w:footnote w:type="continuationSeparator" w:id="0">
    <w:p w14:paraId="1F319764" w14:textId="77777777" w:rsidR="00C2340E" w:rsidRDefault="00C2340E" w:rsidP="00CD3A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C0CD4" w14:textId="7438F28B" w:rsidR="00C2340E" w:rsidRPr="00A5153C" w:rsidRDefault="00C2340E" w:rsidP="00A5153C">
    <w:pPr>
      <w:pStyle w:val="Header"/>
      <w:spacing w:line="240" w:lineRule="auto"/>
      <w:jc w:val="center"/>
      <w:rPr>
        <w:i/>
      </w:rPr>
    </w:pPr>
    <w:r w:rsidRPr="00A5153C">
      <w:rPr>
        <w:i/>
      </w:rPr>
      <w:t>gazdasági önállóság – zsinati előterjesztés – 2019 február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326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8B80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7C2EBC"/>
    <w:multiLevelType w:val="multilevel"/>
    <w:tmpl w:val="828CCCA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Arial Narrow" w:hAnsi="Arial Narrow" w:hint="default"/>
        <w:b/>
        <w:i w:val="0"/>
        <w:sz w:val="24"/>
        <w:u w:val="single"/>
      </w:rPr>
    </w:lvl>
    <w:lvl w:ilvl="1">
      <w:start w:val="1"/>
      <w:numFmt w:val="decimal"/>
      <w:suff w:val="space"/>
      <w:lvlText w:val="%2."/>
      <w:lvlJc w:val="left"/>
      <w:pPr>
        <w:ind w:left="680" w:hanging="68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pStyle w:val="Heading4"/>
      <w:suff w:val="space"/>
      <w:lvlText w:val="%3."/>
      <w:lvlJc w:val="left"/>
      <w:pPr>
        <w:ind w:left="513" w:hanging="513"/>
      </w:pPr>
      <w:rPr>
        <w:rFonts w:ascii="Arial Narrow" w:hAnsi="Arial Narrow" w:hint="default"/>
        <w:b/>
        <w:i/>
        <w:sz w:val="24"/>
        <w:u w:val="single"/>
      </w:rPr>
    </w:lvl>
    <w:lvl w:ilvl="3">
      <w:start w:val="1"/>
      <w:numFmt w:val="lowerLetter"/>
      <w:lvlText w:val="%4;"/>
      <w:lvlJc w:val="left"/>
      <w:pPr>
        <w:tabs>
          <w:tab w:val="num" w:pos="873"/>
        </w:tabs>
        <w:ind w:left="873" w:hanging="360"/>
      </w:pPr>
      <w:rPr>
        <w:rFonts w:ascii="Arial Narrow" w:hAnsi="Arial Narrow" w:hint="default"/>
        <w:b/>
        <w:i/>
        <w:sz w:val="22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3">
    <w:nsid w:val="0F0850F5"/>
    <w:multiLevelType w:val="hybridMultilevel"/>
    <w:tmpl w:val="DEEE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D2EA7"/>
    <w:multiLevelType w:val="multilevel"/>
    <w:tmpl w:val="B85E7ADE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ascii="Arial Narrow Bold" w:hAnsi="Arial Narrow Bold" w:hint="default"/>
        <w:b/>
        <w:i w:val="0"/>
        <w:caps w:val="0"/>
        <w:strike w:val="0"/>
        <w:dstrike w:val="0"/>
        <w:vanish w:val="0"/>
        <w:color w:val="auto"/>
        <w:sz w:val="28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851" w:hanging="851"/>
      </w:pPr>
      <w:rPr>
        <w:rFonts w:ascii="Arial Narrow" w:hAnsi="Arial Narrow" w:hint="default"/>
        <w:b/>
        <w:i/>
        <w:sz w:val="24"/>
      </w:rPr>
    </w:lvl>
    <w:lvl w:ilvl="2">
      <w:start w:val="1"/>
      <w:numFmt w:val="lowerLetter"/>
      <w:suff w:val="space"/>
      <w:lvlText w:val="%3;"/>
      <w:lvlJc w:val="left"/>
      <w:pPr>
        <w:ind w:left="1418" w:hanging="851"/>
      </w:pPr>
      <w:rPr>
        <w:rFonts w:ascii="Arial Narrow" w:hAnsi="Arial Narrow" w:hint="default"/>
        <w:b w:val="0"/>
        <w:i/>
        <w:sz w:val="22"/>
        <w:u w:val="none"/>
      </w:rPr>
    </w:lvl>
    <w:lvl w:ilvl="3">
      <w:start w:val="1"/>
      <w:numFmt w:val="lowerLetter"/>
      <w:lvlText w:val="%4;"/>
      <w:lvlJc w:val="left"/>
      <w:pPr>
        <w:tabs>
          <w:tab w:val="num" w:pos="873"/>
        </w:tabs>
        <w:ind w:left="873" w:hanging="360"/>
      </w:pPr>
      <w:rPr>
        <w:rFonts w:ascii="Arial Narrow" w:hAnsi="Arial Narrow" w:hint="default"/>
        <w:b/>
        <w:i/>
        <w:sz w:val="22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5">
    <w:nsid w:val="37463EDD"/>
    <w:multiLevelType w:val="hybridMultilevel"/>
    <w:tmpl w:val="6A9AFA74"/>
    <w:lvl w:ilvl="0" w:tplc="EFBE0F68">
      <w:start w:val="1"/>
      <w:numFmt w:val="decimal"/>
      <w:pStyle w:val="kerdesek"/>
      <w:lvlText w:val="%1."/>
      <w:lvlJc w:val="left"/>
      <w:pPr>
        <w:ind w:left="170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A3B6D"/>
    <w:multiLevelType w:val="hybridMultilevel"/>
    <w:tmpl w:val="B15C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0FD1"/>
    <w:multiLevelType w:val="hybridMultilevel"/>
    <w:tmpl w:val="523AF2CE"/>
    <w:lvl w:ilvl="0" w:tplc="DB9C7CE4">
      <w:start w:val="1"/>
      <w:numFmt w:val="decimal"/>
      <w:pStyle w:val="tblzatsorszma"/>
      <w:lvlText w:val="%1. táblázat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84F84"/>
    <w:multiLevelType w:val="hybridMultilevel"/>
    <w:tmpl w:val="706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E6EBA"/>
    <w:multiLevelType w:val="multilevel"/>
    <w:tmpl w:val="9426F42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Arial Narrow Bold" w:hAnsi="Arial Narrow Bold" w:hint="default"/>
        <w:b/>
        <w:i w:val="0"/>
        <w:sz w:val="28"/>
        <w:u w:val="single"/>
      </w:rPr>
    </w:lvl>
    <w:lvl w:ilvl="1">
      <w:start w:val="1"/>
      <w:numFmt w:val="decimal"/>
      <w:pStyle w:val="Heading2"/>
      <w:suff w:val="space"/>
      <w:lvlText w:val="%2."/>
      <w:lvlJc w:val="left"/>
      <w:pPr>
        <w:ind w:left="851" w:hanging="851"/>
      </w:pPr>
      <w:rPr>
        <w:rFonts w:ascii="Arial Narrow Bold Italic" w:hAnsi="Arial Narrow Bold Italic" w:hint="default"/>
        <w:b/>
        <w:i/>
        <w:sz w:val="22"/>
        <w:u w:val="single"/>
      </w:rPr>
    </w:lvl>
    <w:lvl w:ilvl="2">
      <w:start w:val="1"/>
      <w:numFmt w:val="lowerLetter"/>
      <w:pStyle w:val="Heading3"/>
      <w:suff w:val="space"/>
      <w:lvlText w:val="%3;"/>
      <w:lvlJc w:val="left"/>
      <w:pPr>
        <w:ind w:left="1418" w:hanging="851"/>
      </w:pPr>
      <w:rPr>
        <w:rFonts w:ascii="Arial Narrow" w:hAnsi="Arial Narrow" w:hint="default"/>
        <w:b w:val="0"/>
        <w:i/>
        <w:sz w:val="22"/>
        <w:u w:val="none"/>
      </w:rPr>
    </w:lvl>
    <w:lvl w:ilvl="3">
      <w:start w:val="1"/>
      <w:numFmt w:val="lowerLetter"/>
      <w:lvlText w:val="%4;"/>
      <w:lvlJc w:val="left"/>
      <w:pPr>
        <w:tabs>
          <w:tab w:val="num" w:pos="873"/>
        </w:tabs>
        <w:ind w:left="873" w:hanging="360"/>
      </w:pPr>
      <w:rPr>
        <w:rFonts w:ascii="Arial Narrow" w:hAnsi="Arial Narrow" w:hint="default"/>
        <w:b/>
        <w:i/>
        <w:sz w:val="22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0">
    <w:nsid w:val="68304649"/>
    <w:multiLevelType w:val="hybridMultilevel"/>
    <w:tmpl w:val="C3CC00BA"/>
    <w:lvl w:ilvl="0" w:tplc="ADDC5BBC">
      <w:start w:val="1"/>
      <w:numFmt w:val="decimal"/>
      <w:pStyle w:val="brasorszma"/>
      <w:lvlText w:val="%1. ábra"/>
      <w:lvlJc w:val="center"/>
      <w:pPr>
        <w:tabs>
          <w:tab w:val="num" w:pos="0"/>
        </w:tabs>
        <w:ind w:left="0" w:firstLine="0"/>
      </w:pPr>
      <w:rPr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F"/>
    <w:rsid w:val="0001162F"/>
    <w:rsid w:val="0002761B"/>
    <w:rsid w:val="0006537E"/>
    <w:rsid w:val="000703A0"/>
    <w:rsid w:val="0008391D"/>
    <w:rsid w:val="00096161"/>
    <w:rsid w:val="000B765D"/>
    <w:rsid w:val="000F202D"/>
    <w:rsid w:val="0012594E"/>
    <w:rsid w:val="0012687C"/>
    <w:rsid w:val="00142A24"/>
    <w:rsid w:val="00166AB6"/>
    <w:rsid w:val="00195B65"/>
    <w:rsid w:val="001A0A6A"/>
    <w:rsid w:val="001E1FD4"/>
    <w:rsid w:val="00206802"/>
    <w:rsid w:val="00252EE5"/>
    <w:rsid w:val="00262F47"/>
    <w:rsid w:val="0026308E"/>
    <w:rsid w:val="00293170"/>
    <w:rsid w:val="002A02A9"/>
    <w:rsid w:val="002A5E2F"/>
    <w:rsid w:val="002C6775"/>
    <w:rsid w:val="00302788"/>
    <w:rsid w:val="00347043"/>
    <w:rsid w:val="003760F6"/>
    <w:rsid w:val="003D3228"/>
    <w:rsid w:val="0041159F"/>
    <w:rsid w:val="00422BCD"/>
    <w:rsid w:val="004743D1"/>
    <w:rsid w:val="004D622B"/>
    <w:rsid w:val="0050254C"/>
    <w:rsid w:val="00516711"/>
    <w:rsid w:val="005836FC"/>
    <w:rsid w:val="00586139"/>
    <w:rsid w:val="005A1DDD"/>
    <w:rsid w:val="005B0E76"/>
    <w:rsid w:val="00600CD8"/>
    <w:rsid w:val="00614302"/>
    <w:rsid w:val="0065420F"/>
    <w:rsid w:val="00670E31"/>
    <w:rsid w:val="00672456"/>
    <w:rsid w:val="006811B2"/>
    <w:rsid w:val="006C161E"/>
    <w:rsid w:val="006E1C48"/>
    <w:rsid w:val="0070092D"/>
    <w:rsid w:val="00707652"/>
    <w:rsid w:val="00726F72"/>
    <w:rsid w:val="0074194D"/>
    <w:rsid w:val="00746CB4"/>
    <w:rsid w:val="00747140"/>
    <w:rsid w:val="00757EBF"/>
    <w:rsid w:val="0076703F"/>
    <w:rsid w:val="00796781"/>
    <w:rsid w:val="007C13D1"/>
    <w:rsid w:val="007D70A5"/>
    <w:rsid w:val="007F14DC"/>
    <w:rsid w:val="00800484"/>
    <w:rsid w:val="00861194"/>
    <w:rsid w:val="008B7298"/>
    <w:rsid w:val="008E0BA8"/>
    <w:rsid w:val="00925CE0"/>
    <w:rsid w:val="00934B91"/>
    <w:rsid w:val="00935104"/>
    <w:rsid w:val="00997241"/>
    <w:rsid w:val="009A5072"/>
    <w:rsid w:val="009B0D1C"/>
    <w:rsid w:val="009C237A"/>
    <w:rsid w:val="009C3CBC"/>
    <w:rsid w:val="00A135C9"/>
    <w:rsid w:val="00A5153C"/>
    <w:rsid w:val="00A5449B"/>
    <w:rsid w:val="00A6353A"/>
    <w:rsid w:val="00A82E02"/>
    <w:rsid w:val="00A87A85"/>
    <w:rsid w:val="00AC120A"/>
    <w:rsid w:val="00AC5733"/>
    <w:rsid w:val="00B275C6"/>
    <w:rsid w:val="00B42C5D"/>
    <w:rsid w:val="00B44E8C"/>
    <w:rsid w:val="00B5414A"/>
    <w:rsid w:val="00B60CC4"/>
    <w:rsid w:val="00B62115"/>
    <w:rsid w:val="00B76913"/>
    <w:rsid w:val="00BA2957"/>
    <w:rsid w:val="00BB7FFB"/>
    <w:rsid w:val="00BE2AD0"/>
    <w:rsid w:val="00BF1C99"/>
    <w:rsid w:val="00BF56DF"/>
    <w:rsid w:val="00C2340E"/>
    <w:rsid w:val="00C25FD6"/>
    <w:rsid w:val="00C507E5"/>
    <w:rsid w:val="00C93410"/>
    <w:rsid w:val="00C97812"/>
    <w:rsid w:val="00CA4F81"/>
    <w:rsid w:val="00CC0DBB"/>
    <w:rsid w:val="00CC6ADA"/>
    <w:rsid w:val="00CD0325"/>
    <w:rsid w:val="00CD16D0"/>
    <w:rsid w:val="00CD3AE1"/>
    <w:rsid w:val="00CF18CC"/>
    <w:rsid w:val="00D37E16"/>
    <w:rsid w:val="00D83D9C"/>
    <w:rsid w:val="00D912AA"/>
    <w:rsid w:val="00D91964"/>
    <w:rsid w:val="00D95C94"/>
    <w:rsid w:val="00DA5206"/>
    <w:rsid w:val="00DE6406"/>
    <w:rsid w:val="00E106CB"/>
    <w:rsid w:val="00E7625F"/>
    <w:rsid w:val="00EA42BF"/>
    <w:rsid w:val="00EA4712"/>
    <w:rsid w:val="00EA48F1"/>
    <w:rsid w:val="00EB2039"/>
    <w:rsid w:val="00ED3DF2"/>
    <w:rsid w:val="00EE0B1D"/>
    <w:rsid w:val="00EF03FA"/>
    <w:rsid w:val="00F3344D"/>
    <w:rsid w:val="00F419C7"/>
    <w:rsid w:val="00F45C17"/>
    <w:rsid w:val="00F52C8A"/>
    <w:rsid w:val="00F6313B"/>
    <w:rsid w:val="00F857A4"/>
    <w:rsid w:val="00FC14AD"/>
    <w:rsid w:val="00FC2DE5"/>
    <w:rsid w:val="00FD1A3E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F44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Classic 1" w:uiPriority="0"/>
    <w:lsdException w:name="Table 3D effects 1" w:uiPriority="0"/>
    <w:lsdException w:name="Table 3D effects 2" w:uiPriority="0"/>
    <w:lsdException w:name="Table 3D effects 3" w:uiPriority="0"/>
    <w:lsdException w:name="Table Web 3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94"/>
    <w:pPr>
      <w:tabs>
        <w:tab w:val="left" w:pos="567"/>
      </w:tabs>
      <w:spacing w:before="120" w:line="360" w:lineRule="auto"/>
      <w:jc w:val="both"/>
    </w:pPr>
    <w:rPr>
      <w:rFonts w:ascii="Arial Narrow" w:eastAsia="Times New Roman" w:hAnsi="Arial Narrow" w:cs="Times New Roman"/>
      <w:sz w:val="22"/>
      <w:lang w:val="hu-HU"/>
    </w:rPr>
  </w:style>
  <w:style w:type="paragraph" w:styleId="Heading1">
    <w:name w:val="heading 1"/>
    <w:basedOn w:val="Normal"/>
    <w:next w:val="Normal"/>
    <w:link w:val="Heading1Char"/>
    <w:autoRedefine/>
    <w:qFormat/>
    <w:rsid w:val="00D95C94"/>
    <w:pPr>
      <w:keepNext/>
      <w:pageBreakBefore/>
      <w:numPr>
        <w:numId w:val="2"/>
      </w:numPr>
      <w:spacing w:before="240"/>
      <w:outlineLvl w:val="0"/>
    </w:pPr>
    <w:rPr>
      <w:b/>
      <w:szCs w:val="20"/>
      <w:u w:val="thick"/>
    </w:rPr>
  </w:style>
  <w:style w:type="paragraph" w:styleId="Heading2">
    <w:name w:val="heading 2"/>
    <w:basedOn w:val="Normal"/>
    <w:next w:val="Normal"/>
    <w:link w:val="Heading2Char"/>
    <w:autoRedefine/>
    <w:qFormat/>
    <w:rsid w:val="00D95C94"/>
    <w:pPr>
      <w:keepNext/>
      <w:numPr>
        <w:ilvl w:val="1"/>
        <w:numId w:val="4"/>
      </w:numPr>
      <w:tabs>
        <w:tab w:val="num" w:pos="720"/>
      </w:tabs>
      <w:ind w:left="1080" w:hanging="360"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D95C94"/>
    <w:pPr>
      <w:keepNext/>
      <w:numPr>
        <w:ilvl w:val="2"/>
        <w:numId w:val="4"/>
      </w:numPr>
      <w:outlineLvl w:val="2"/>
    </w:pPr>
    <w:rPr>
      <w:i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D95C94"/>
    <w:pPr>
      <w:keepNext/>
      <w:numPr>
        <w:ilvl w:val="2"/>
        <w:numId w:val="5"/>
      </w:numPr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D95C94"/>
    <w:pPr>
      <w:keepNext/>
      <w:outlineLvl w:val="4"/>
    </w:pPr>
    <w:rPr>
      <w:i/>
      <w:szCs w:val="20"/>
    </w:rPr>
  </w:style>
  <w:style w:type="paragraph" w:styleId="Heading6">
    <w:name w:val="heading 6"/>
    <w:basedOn w:val="Normal"/>
    <w:next w:val="Normal"/>
    <w:link w:val="Heading6Char"/>
    <w:qFormat/>
    <w:rsid w:val="00D95C94"/>
    <w:pPr>
      <w:keepNext/>
      <w:outlineLvl w:val="5"/>
    </w:pPr>
    <w:rPr>
      <w:b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D95C94"/>
    <w:pPr>
      <w:keepNext/>
      <w:spacing w:before="240"/>
      <w:outlineLvl w:val="6"/>
    </w:pPr>
    <w:rPr>
      <w:b/>
      <w:i/>
      <w:iCs/>
    </w:rPr>
  </w:style>
  <w:style w:type="paragraph" w:styleId="Heading8">
    <w:name w:val="heading 8"/>
    <w:basedOn w:val="Normal"/>
    <w:next w:val="Normal"/>
    <w:link w:val="Heading8Char"/>
    <w:autoRedefine/>
    <w:qFormat/>
    <w:rsid w:val="00D95C94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D95C94"/>
    <w:pPr>
      <w:overflowPunct w:val="0"/>
      <w:autoSpaceDE w:val="0"/>
      <w:autoSpaceDN w:val="0"/>
      <w:adjustRightInd w:val="0"/>
      <w:spacing w:before="240" w:after="60" w:line="280" w:lineRule="exact"/>
      <w:ind w:left="5891" w:hanging="720"/>
      <w:textAlignment w:val="baseline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cme">
    <w:name w:val="ábra címe"/>
    <w:basedOn w:val="Normal"/>
    <w:autoRedefine/>
    <w:rsid w:val="00D95C94"/>
    <w:pPr>
      <w:keepNext/>
      <w:jc w:val="center"/>
    </w:pPr>
    <w:rPr>
      <w:rFonts w:eastAsia="Arial Unicode MS" w:cs="Arial"/>
      <w:b/>
      <w:bCs/>
      <w:i/>
      <w:lang w:eastAsia="hu-HU"/>
    </w:rPr>
  </w:style>
  <w:style w:type="paragraph" w:customStyle="1" w:styleId="braalcme">
    <w:name w:val="ábra alcíme"/>
    <w:basedOn w:val="bracme"/>
    <w:rsid w:val="00D95C94"/>
    <w:rPr>
      <w:b w:val="0"/>
      <w:bCs w:val="0"/>
      <w:iCs/>
    </w:rPr>
  </w:style>
  <w:style w:type="paragraph" w:customStyle="1" w:styleId="brasorszma">
    <w:name w:val="Ábra sorszáma"/>
    <w:basedOn w:val="Normal"/>
    <w:next w:val="Normal"/>
    <w:autoRedefine/>
    <w:rsid w:val="00D95C94"/>
    <w:pPr>
      <w:keepNext/>
      <w:numPr>
        <w:numId w:val="1"/>
      </w:numPr>
      <w:jc w:val="center"/>
    </w:pPr>
    <w:rPr>
      <w:b/>
      <w:bCs/>
      <w:lang w:eastAsia="hu-HU"/>
    </w:rPr>
  </w:style>
  <w:style w:type="paragraph" w:customStyle="1" w:styleId="albekezds">
    <w:name w:val="albekezdés"/>
    <w:basedOn w:val="Normal"/>
    <w:rsid w:val="00D95C94"/>
    <w:pPr>
      <w:ind w:left="540" w:hanging="183"/>
    </w:pPr>
  </w:style>
  <w:style w:type="paragraph" w:customStyle="1" w:styleId="alcm">
    <w:name w:val="alcím"/>
    <w:basedOn w:val="Normal"/>
    <w:next w:val="Normal"/>
    <w:rsid w:val="00D95C94"/>
    <w:pPr>
      <w:spacing w:before="240" w:after="120" w:line="480" w:lineRule="auto"/>
      <w:jc w:val="center"/>
    </w:pPr>
    <w:rPr>
      <w:b/>
      <w:i/>
      <w:color w:val="000000"/>
      <w:sz w:val="28"/>
    </w:rPr>
  </w:style>
  <w:style w:type="paragraph" w:styleId="BalloonText">
    <w:name w:val="Balloon Text"/>
    <w:basedOn w:val="Normal"/>
    <w:link w:val="BalloonTextChar"/>
    <w:semiHidden/>
    <w:rsid w:val="00D95C94"/>
    <w:rPr>
      <w:sz w:val="18"/>
      <w:szCs w:val="18"/>
      <w:lang w:val="cs-CZ"/>
    </w:rPr>
  </w:style>
  <w:style w:type="character" w:customStyle="1" w:styleId="BalloonTextChar">
    <w:name w:val="Balloon Text Char"/>
    <w:link w:val="BalloonText"/>
    <w:semiHidden/>
    <w:rsid w:val="00D95C94"/>
    <w:rPr>
      <w:rFonts w:ascii="Arial Narrow" w:eastAsia="Times New Roman" w:hAnsi="Arial Narrow" w:cs="Times New Roman"/>
      <w:sz w:val="18"/>
      <w:szCs w:val="18"/>
      <w:lang w:val="cs-CZ" w:eastAsia="ja-JP"/>
    </w:rPr>
  </w:style>
  <w:style w:type="character" w:customStyle="1" w:styleId="Bekezdsalap-betutpusa">
    <w:name w:val="Bekezdés alap-betutípusa"/>
    <w:rsid w:val="00D95C94"/>
    <w:rPr>
      <w:rFonts w:ascii="Arial Narrow" w:hAnsi="Arial Narrow"/>
      <w:sz w:val="22"/>
    </w:rPr>
  </w:style>
  <w:style w:type="paragraph" w:customStyle="1" w:styleId="bels">
    <w:name w:val="belső"/>
    <w:basedOn w:val="Normal"/>
    <w:rsid w:val="00D95C94"/>
    <w:pPr>
      <w:autoSpaceDE w:val="0"/>
      <w:autoSpaceDN w:val="0"/>
      <w:adjustRightInd w:val="0"/>
    </w:pPr>
    <w:rPr>
      <w:szCs w:val="20"/>
    </w:rPr>
  </w:style>
  <w:style w:type="paragraph" w:styleId="BodyText">
    <w:name w:val="Body Text"/>
    <w:basedOn w:val="Normal"/>
    <w:link w:val="BodyTextChar"/>
    <w:rsid w:val="00D95C94"/>
    <w:rPr>
      <w:szCs w:val="20"/>
    </w:rPr>
  </w:style>
  <w:style w:type="character" w:customStyle="1" w:styleId="BodyTextChar">
    <w:name w:val="Body Text Char"/>
    <w:link w:val="BodyText"/>
    <w:rsid w:val="00D95C94"/>
    <w:rPr>
      <w:rFonts w:ascii="Arial Narrow" w:eastAsia="Times New Roman" w:hAnsi="Arial Narrow" w:cs="Times New Roman"/>
      <w:sz w:val="22"/>
      <w:szCs w:val="20"/>
      <w:lang w:val="hu-HU" w:eastAsia="ja-JP"/>
    </w:rPr>
  </w:style>
  <w:style w:type="paragraph" w:styleId="BodyText2">
    <w:name w:val="Body Text 2"/>
    <w:basedOn w:val="Normal"/>
    <w:link w:val="BodyText2Char"/>
    <w:rsid w:val="00D95C94"/>
    <w:pPr>
      <w:spacing w:after="120" w:line="480" w:lineRule="auto"/>
    </w:pPr>
  </w:style>
  <w:style w:type="character" w:customStyle="1" w:styleId="BodyText2Char">
    <w:name w:val="Body Text 2 Char"/>
    <w:link w:val="BodyText2"/>
    <w:rsid w:val="00D95C94"/>
    <w:rPr>
      <w:rFonts w:ascii="Arial Narrow" w:eastAsia="Times New Roman" w:hAnsi="Arial Narrow" w:cs="Times New Roman"/>
      <w:sz w:val="22"/>
      <w:lang w:val="hu-HU" w:eastAsia="ja-JP"/>
    </w:rPr>
  </w:style>
  <w:style w:type="paragraph" w:styleId="BodyTextIndent">
    <w:name w:val="Body Text Indent"/>
    <w:basedOn w:val="Normal"/>
    <w:link w:val="BodyTextIndentChar"/>
    <w:rsid w:val="00D95C9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95C94"/>
    <w:rPr>
      <w:rFonts w:ascii="Arial Narrow" w:eastAsia="Times New Roman" w:hAnsi="Arial Narrow" w:cs="Times New Roman"/>
      <w:sz w:val="22"/>
      <w:lang w:val="hu-HU" w:eastAsia="ja-JP"/>
    </w:rPr>
  </w:style>
  <w:style w:type="paragraph" w:styleId="Caption">
    <w:name w:val="caption"/>
    <w:basedOn w:val="Normal"/>
    <w:next w:val="Normal"/>
    <w:qFormat/>
    <w:rsid w:val="00D95C94"/>
    <w:pPr>
      <w:autoSpaceDE w:val="0"/>
      <w:autoSpaceDN w:val="0"/>
      <w:adjustRightInd w:val="0"/>
    </w:pPr>
    <w:rPr>
      <w:i/>
      <w:iCs/>
      <w:sz w:val="20"/>
    </w:rPr>
  </w:style>
  <w:style w:type="character" w:customStyle="1" w:styleId="CharChar">
    <w:name w:val="Char Char"/>
    <w:rsid w:val="00D95C94"/>
    <w:rPr>
      <w:sz w:val="16"/>
    </w:rPr>
  </w:style>
  <w:style w:type="character" w:customStyle="1" w:styleId="Char1">
    <w:name w:val="Char1"/>
    <w:rsid w:val="00D95C94"/>
    <w:rPr>
      <w:b/>
    </w:rPr>
  </w:style>
  <w:style w:type="character" w:customStyle="1" w:styleId="Char2">
    <w:name w:val="Char2"/>
    <w:basedOn w:val="DefaultParagraphFont"/>
    <w:rsid w:val="00D95C94"/>
  </w:style>
  <w:style w:type="character" w:customStyle="1" w:styleId="cim1">
    <w:name w:val="cim1"/>
    <w:rsid w:val="00D95C94"/>
    <w:rPr>
      <w:rFonts w:ascii="Arial Narrow" w:hAnsi="Arial Narrow" w:cs="Times New Roman"/>
      <w:b/>
      <w:bCs/>
      <w:i/>
      <w:color w:val="000000"/>
      <w:position w:val="0"/>
      <w:sz w:val="36"/>
      <w:szCs w:val="36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m1">
    <w:name w:val="Cím1"/>
    <w:rsid w:val="00D95C94"/>
    <w:pPr>
      <w:tabs>
        <w:tab w:val="left" w:pos="567"/>
      </w:tabs>
      <w:spacing w:before="120" w:after="120" w:line="360" w:lineRule="auto"/>
      <w:jc w:val="center"/>
    </w:pPr>
    <w:rPr>
      <w:rFonts w:ascii="Arial Narrow" w:eastAsia="ヒラギノ角ゴ Pro W3" w:hAnsi="Arial Narrow" w:cs="Times New Roman"/>
      <w:b/>
      <w:color w:val="000000"/>
      <w:sz w:val="48"/>
      <w:szCs w:val="20"/>
      <w:lang w:val="hu-HU" w:eastAsia="hu-HU"/>
    </w:rPr>
  </w:style>
  <w:style w:type="paragraph" w:customStyle="1" w:styleId="Cmsor11">
    <w:name w:val="Címsor 11"/>
    <w:next w:val="Normal"/>
    <w:rsid w:val="00D95C94"/>
    <w:pPr>
      <w:keepNext/>
      <w:pageBreakBefore/>
      <w:spacing w:before="240" w:after="120" w:line="360" w:lineRule="auto"/>
      <w:jc w:val="center"/>
    </w:pPr>
    <w:rPr>
      <w:rFonts w:ascii="Arial Narrow" w:eastAsia="ヒラギノ角ゴ Pro W3" w:hAnsi="Arial Narrow" w:cs="Times New Roman"/>
      <w:b/>
      <w:color w:val="000000"/>
      <w:sz w:val="28"/>
      <w:szCs w:val="20"/>
      <w:u w:val="single"/>
      <w:lang w:val="hu-HU" w:eastAsia="hu-HU"/>
    </w:rPr>
  </w:style>
  <w:style w:type="paragraph" w:customStyle="1" w:styleId="Cmsor81">
    <w:name w:val="Címsor 81"/>
    <w:next w:val="Normal"/>
    <w:rsid w:val="00D95C94"/>
    <w:pPr>
      <w:keepNext/>
      <w:tabs>
        <w:tab w:val="left" w:pos="567"/>
      </w:tabs>
      <w:spacing w:before="120" w:line="360" w:lineRule="auto"/>
      <w:jc w:val="center"/>
    </w:pPr>
    <w:rPr>
      <w:rFonts w:ascii="Arial Narrow" w:eastAsia="ヒラギノ角ゴ Pro W3" w:hAnsi="Arial Narrow" w:cs="Times New Roman"/>
      <w:b/>
      <w:color w:val="000000"/>
      <w:szCs w:val="20"/>
      <w:u w:val="single"/>
      <w:lang w:val="hu-HU" w:eastAsia="hu-HU"/>
    </w:rPr>
  </w:style>
  <w:style w:type="character" w:styleId="CommentReference">
    <w:name w:val="annotation reference"/>
    <w:semiHidden/>
    <w:unhideWhenUsed/>
    <w:rsid w:val="00D95C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5C9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95C94"/>
    <w:rPr>
      <w:rFonts w:ascii="Arial Narrow" w:eastAsia="Times New Roman" w:hAnsi="Arial Narrow" w:cs="Times New Roman"/>
      <w:sz w:val="20"/>
      <w:szCs w:val="20"/>
      <w:lang w:val="hu-H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5C94"/>
    <w:rPr>
      <w:sz w:val="22"/>
    </w:rPr>
  </w:style>
  <w:style w:type="character" w:customStyle="1" w:styleId="CommentSubjectChar">
    <w:name w:val="Comment Subject Char"/>
    <w:link w:val="CommentSubject"/>
    <w:semiHidden/>
    <w:rsid w:val="00D95C94"/>
    <w:rPr>
      <w:rFonts w:ascii="Arial Narrow" w:eastAsia="Times New Roman" w:hAnsi="Arial Narrow" w:cs="Times New Roman"/>
      <w:sz w:val="22"/>
      <w:szCs w:val="20"/>
      <w:lang w:val="hu-HU" w:eastAsia="ja-JP"/>
    </w:rPr>
  </w:style>
  <w:style w:type="paragraph" w:customStyle="1" w:styleId="Default">
    <w:name w:val="Default"/>
    <w:autoRedefine/>
    <w:rsid w:val="00D95C94"/>
    <w:pPr>
      <w:autoSpaceDE w:val="0"/>
      <w:autoSpaceDN w:val="0"/>
      <w:adjustRightInd w:val="0"/>
      <w:spacing w:before="120" w:line="360" w:lineRule="auto"/>
      <w:jc w:val="both"/>
    </w:pPr>
    <w:rPr>
      <w:rFonts w:ascii="Arial Narrow" w:eastAsia="Times New Roman" w:hAnsi="Arial Narrow" w:cs="Times New Roman"/>
      <w:sz w:val="22"/>
      <w:szCs w:val="20"/>
      <w:lang w:val="hu-HU" w:eastAsia="hu-HU"/>
    </w:rPr>
  </w:style>
  <w:style w:type="paragraph" w:styleId="DocumentMap">
    <w:name w:val="Document Map"/>
    <w:basedOn w:val="Normal"/>
    <w:link w:val="DocumentMapChar"/>
    <w:semiHidden/>
    <w:rsid w:val="00D95C94"/>
    <w:pPr>
      <w:shd w:val="clear" w:color="auto" w:fill="C6D5EC"/>
    </w:pPr>
  </w:style>
  <w:style w:type="character" w:customStyle="1" w:styleId="DocumentMapChar">
    <w:name w:val="Document Map Char"/>
    <w:link w:val="DocumentMap"/>
    <w:semiHidden/>
    <w:rsid w:val="00D95C94"/>
    <w:rPr>
      <w:rFonts w:ascii="Arial Narrow" w:eastAsia="Times New Roman" w:hAnsi="Arial Narrow" w:cs="Times New Roman"/>
      <w:sz w:val="22"/>
      <w:shd w:val="clear" w:color="auto" w:fill="C6D5EC"/>
      <w:lang w:val="hu-HU" w:eastAsia="ja-JP"/>
    </w:rPr>
  </w:style>
  <w:style w:type="paragraph" w:customStyle="1" w:styleId="llb1">
    <w:name w:val="Élőláb1"/>
    <w:rsid w:val="00D95C94"/>
    <w:pPr>
      <w:tabs>
        <w:tab w:val="center" w:pos="4536"/>
        <w:tab w:val="right" w:pos="9072"/>
      </w:tabs>
      <w:spacing w:before="120" w:line="360" w:lineRule="auto"/>
      <w:jc w:val="both"/>
    </w:pPr>
    <w:rPr>
      <w:rFonts w:ascii="Arial Narrow" w:eastAsia="ヒラギノ角ゴ Pro W3" w:hAnsi="Arial Narrow" w:cs="Times New Roman"/>
      <w:color w:val="000000"/>
      <w:sz w:val="22"/>
      <w:szCs w:val="20"/>
      <w:lang w:val="hu-HU" w:eastAsia="hu-HU"/>
    </w:rPr>
  </w:style>
  <w:style w:type="character" w:styleId="Emphasis">
    <w:name w:val="Emphasis"/>
    <w:qFormat/>
    <w:rsid w:val="00D95C94"/>
    <w:rPr>
      <w:i/>
      <w:iCs/>
    </w:rPr>
  </w:style>
  <w:style w:type="character" w:styleId="EndnoteReference">
    <w:name w:val="endnote reference"/>
    <w:rsid w:val="00D95C94"/>
    <w:rPr>
      <w:vertAlign w:val="superscript"/>
    </w:rPr>
  </w:style>
  <w:style w:type="paragraph" w:styleId="EndnoteText">
    <w:name w:val="endnote text"/>
    <w:basedOn w:val="Normal"/>
    <w:link w:val="EndnoteTextChar"/>
    <w:rsid w:val="00D95C94"/>
    <w:rPr>
      <w:sz w:val="20"/>
      <w:szCs w:val="20"/>
      <w:lang w:eastAsia="hu-HU"/>
    </w:rPr>
  </w:style>
  <w:style w:type="character" w:customStyle="1" w:styleId="EndnoteTextChar">
    <w:name w:val="Endnote Text Char"/>
    <w:link w:val="EndnoteText"/>
    <w:rsid w:val="00D95C94"/>
    <w:rPr>
      <w:rFonts w:ascii="Arial Narrow" w:eastAsia="Times New Roman" w:hAnsi="Arial Narrow" w:cs="Times New Roman"/>
      <w:sz w:val="20"/>
      <w:szCs w:val="20"/>
      <w:lang w:val="hu-HU" w:eastAsia="hu-HU"/>
    </w:rPr>
  </w:style>
  <w:style w:type="paragraph" w:customStyle="1" w:styleId="fels">
    <w:name w:val="fels"/>
    <w:basedOn w:val="Normal"/>
    <w:rsid w:val="00D95C94"/>
    <w:pPr>
      <w:tabs>
        <w:tab w:val="num" w:pos="360"/>
      </w:tabs>
      <w:autoSpaceDE w:val="0"/>
      <w:autoSpaceDN w:val="0"/>
      <w:adjustRightInd w:val="0"/>
      <w:ind w:left="360" w:hanging="360"/>
    </w:pPr>
    <w:rPr>
      <w:szCs w:val="20"/>
      <w:lang w:eastAsia="hu-HU"/>
    </w:rPr>
  </w:style>
  <w:style w:type="character" w:customStyle="1" w:styleId="Heading1Char">
    <w:name w:val="Heading 1 Char"/>
    <w:link w:val="Heading1"/>
    <w:rsid w:val="00D95C94"/>
    <w:rPr>
      <w:rFonts w:ascii="Arial Narrow" w:eastAsia="Times New Roman" w:hAnsi="Arial Narrow" w:cs="Times New Roman"/>
      <w:b/>
      <w:sz w:val="22"/>
      <w:szCs w:val="20"/>
      <w:u w:val="thick"/>
      <w:lang w:val="hu-HU" w:eastAsia="ja-JP"/>
    </w:rPr>
  </w:style>
  <w:style w:type="paragraph" w:customStyle="1" w:styleId="fcm">
    <w:name w:val="főcím"/>
    <w:basedOn w:val="Heading1"/>
    <w:rsid w:val="00D95C94"/>
    <w:pPr>
      <w:pageBreakBefore w:val="0"/>
      <w:widowControl w:val="0"/>
      <w:numPr>
        <w:numId w:val="0"/>
      </w:numPr>
      <w:overflowPunct w:val="0"/>
      <w:autoSpaceDE w:val="0"/>
      <w:autoSpaceDN w:val="0"/>
      <w:adjustRightInd w:val="0"/>
      <w:spacing w:before="960" w:after="960" w:line="240" w:lineRule="auto"/>
      <w:textAlignment w:val="baseline"/>
    </w:pPr>
    <w:rPr>
      <w:rFonts w:ascii="Garamond" w:hAnsi="Garamond"/>
      <w:kern w:val="28"/>
      <w:sz w:val="32"/>
      <w:u w:val="none"/>
      <w:lang w:eastAsia="hu-HU"/>
    </w:rPr>
  </w:style>
  <w:style w:type="character" w:styleId="FollowedHyperlink">
    <w:name w:val="FollowedHyperlink"/>
    <w:rsid w:val="00D95C94"/>
    <w:rPr>
      <w:color w:val="800080"/>
      <w:u w:val="single"/>
    </w:rPr>
  </w:style>
  <w:style w:type="paragraph" w:styleId="Footer">
    <w:name w:val="footer"/>
    <w:basedOn w:val="Normal"/>
    <w:link w:val="FooterChar"/>
    <w:rsid w:val="00D95C94"/>
    <w:pPr>
      <w:tabs>
        <w:tab w:val="center" w:pos="4536"/>
        <w:tab w:val="right" w:pos="9072"/>
      </w:tabs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rsid w:val="00D95C94"/>
    <w:rPr>
      <w:rFonts w:ascii="Calibri" w:eastAsia="Calibri" w:hAnsi="Calibri" w:cs="Times New Roman"/>
      <w:sz w:val="22"/>
      <w:szCs w:val="22"/>
      <w:lang w:val="hu-HU" w:eastAsia="ja-JP"/>
    </w:rPr>
  </w:style>
  <w:style w:type="character" w:styleId="FootnoteReference">
    <w:name w:val="footnote reference"/>
    <w:semiHidden/>
    <w:rsid w:val="00D95C94"/>
    <w:rPr>
      <w:vertAlign w:val="superscript"/>
    </w:rPr>
  </w:style>
  <w:style w:type="paragraph" w:styleId="FootnoteText">
    <w:name w:val="footnote text"/>
    <w:basedOn w:val="Normal"/>
    <w:link w:val="FootnoteTextChar"/>
    <w:autoRedefine/>
    <w:semiHidden/>
    <w:rsid w:val="00D95C94"/>
    <w:rPr>
      <w:sz w:val="20"/>
      <w:szCs w:val="20"/>
      <w:lang w:eastAsia="hu-HU"/>
    </w:rPr>
  </w:style>
  <w:style w:type="character" w:customStyle="1" w:styleId="FootnoteTextChar">
    <w:name w:val="Footnote Text Char"/>
    <w:link w:val="FootnoteText"/>
    <w:semiHidden/>
    <w:rsid w:val="00D95C94"/>
    <w:rPr>
      <w:rFonts w:ascii="Arial Narrow" w:eastAsia="Times New Roman" w:hAnsi="Arial Narrow" w:cs="Times New Roman"/>
      <w:sz w:val="20"/>
      <w:szCs w:val="20"/>
      <w:lang w:val="hu-HU" w:eastAsia="hu-HU"/>
    </w:rPr>
  </w:style>
  <w:style w:type="paragraph" w:customStyle="1" w:styleId="FootnoteTextA">
    <w:name w:val="Footnote Text A"/>
    <w:rsid w:val="00D95C94"/>
    <w:pPr>
      <w:tabs>
        <w:tab w:val="left" w:pos="567"/>
      </w:tabs>
      <w:spacing w:before="120" w:line="360" w:lineRule="auto"/>
      <w:jc w:val="both"/>
    </w:pPr>
    <w:rPr>
      <w:rFonts w:ascii="Arial Narrow" w:eastAsia="ヒラギノ角ゴ Pro W3" w:hAnsi="Arial Narrow" w:cs="Times New Roman"/>
      <w:color w:val="000000"/>
      <w:szCs w:val="20"/>
    </w:rPr>
  </w:style>
  <w:style w:type="character" w:customStyle="1" w:styleId="goohl1">
    <w:name w:val="goohl1"/>
    <w:basedOn w:val="DefaultParagraphFont"/>
    <w:rsid w:val="00D95C94"/>
  </w:style>
  <w:style w:type="paragraph" w:customStyle="1" w:styleId="h">
    <w:name w:val="h"/>
    <w:basedOn w:val="Normal"/>
    <w:rsid w:val="00D95C94"/>
    <w:pPr>
      <w:tabs>
        <w:tab w:val="num" w:pos="1057"/>
      </w:tabs>
      <w:autoSpaceDE w:val="0"/>
      <w:autoSpaceDN w:val="0"/>
      <w:adjustRightInd w:val="0"/>
      <w:ind w:left="731" w:hanging="34"/>
    </w:pPr>
    <w:rPr>
      <w:szCs w:val="20"/>
      <w:lang w:eastAsia="hu-HU"/>
    </w:rPr>
  </w:style>
  <w:style w:type="paragraph" w:styleId="Header">
    <w:name w:val="header"/>
    <w:basedOn w:val="Normal"/>
    <w:link w:val="HeaderChar"/>
    <w:rsid w:val="00D95C94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character" w:customStyle="1" w:styleId="HeaderChar">
    <w:name w:val="Header Char"/>
    <w:link w:val="Header"/>
    <w:rsid w:val="00D95C94"/>
    <w:rPr>
      <w:rFonts w:ascii="Arial Narrow" w:eastAsia="Times New Roman" w:hAnsi="Arial Narrow" w:cs="Times New Roman"/>
      <w:sz w:val="18"/>
      <w:lang w:val="hu-HU" w:eastAsia="ja-JP"/>
    </w:rPr>
  </w:style>
  <w:style w:type="character" w:customStyle="1" w:styleId="Heading2Char">
    <w:name w:val="Heading 2 Char"/>
    <w:link w:val="Heading2"/>
    <w:rsid w:val="00D95C94"/>
    <w:rPr>
      <w:rFonts w:ascii="Arial Narrow" w:eastAsia="Times New Roman" w:hAnsi="Arial Narrow" w:cs="Times New Roman"/>
      <w:b/>
      <w:i/>
      <w:sz w:val="22"/>
      <w:u w:val="single"/>
      <w:lang w:val="hu-HU" w:eastAsia="ja-JP"/>
    </w:rPr>
  </w:style>
  <w:style w:type="character" w:customStyle="1" w:styleId="Heading3Char">
    <w:name w:val="Heading 3 Char"/>
    <w:link w:val="Heading3"/>
    <w:rsid w:val="00D95C94"/>
    <w:rPr>
      <w:rFonts w:ascii="Arial Narrow" w:eastAsia="Times New Roman" w:hAnsi="Arial Narrow" w:cs="Times New Roman"/>
      <w:i/>
      <w:sz w:val="22"/>
      <w:szCs w:val="20"/>
      <w:u w:val="single"/>
      <w:lang w:val="hu-HU" w:eastAsia="ja-JP"/>
    </w:rPr>
  </w:style>
  <w:style w:type="character" w:customStyle="1" w:styleId="Heading4Char">
    <w:name w:val="Heading 4 Char"/>
    <w:link w:val="Heading4"/>
    <w:rsid w:val="00D95C94"/>
    <w:rPr>
      <w:rFonts w:ascii="Arial Narrow" w:eastAsia="Times New Roman" w:hAnsi="Arial Narrow" w:cs="Times New Roman"/>
      <w:b/>
      <w:i/>
      <w:sz w:val="22"/>
      <w:szCs w:val="20"/>
      <w:lang w:val="hu-HU" w:eastAsia="ja-JP"/>
    </w:rPr>
  </w:style>
  <w:style w:type="character" w:customStyle="1" w:styleId="Heading5Char">
    <w:name w:val="Heading 5 Char"/>
    <w:link w:val="Heading5"/>
    <w:rsid w:val="00D95C94"/>
    <w:rPr>
      <w:rFonts w:ascii="Arial Narrow" w:eastAsia="Times New Roman" w:hAnsi="Arial Narrow" w:cs="Times New Roman"/>
      <w:i/>
      <w:sz w:val="22"/>
      <w:szCs w:val="20"/>
      <w:lang w:val="hu-HU" w:eastAsia="ja-JP"/>
    </w:rPr>
  </w:style>
  <w:style w:type="character" w:customStyle="1" w:styleId="Heading6Char">
    <w:name w:val="Heading 6 Char"/>
    <w:link w:val="Heading6"/>
    <w:rsid w:val="00D95C94"/>
    <w:rPr>
      <w:rFonts w:ascii="Arial Narrow" w:eastAsia="Times New Roman" w:hAnsi="Arial Narrow" w:cs="Times New Roman"/>
      <w:b/>
      <w:sz w:val="22"/>
      <w:szCs w:val="20"/>
      <w:u w:val="single"/>
      <w:lang w:val="hu-HU" w:eastAsia="ja-JP"/>
    </w:rPr>
  </w:style>
  <w:style w:type="character" w:customStyle="1" w:styleId="Heading7Char">
    <w:name w:val="Heading 7 Char"/>
    <w:link w:val="Heading7"/>
    <w:rsid w:val="00D95C94"/>
    <w:rPr>
      <w:rFonts w:ascii="Arial Narrow" w:eastAsia="Times New Roman" w:hAnsi="Arial Narrow" w:cs="Times New Roman"/>
      <w:b/>
      <w:i/>
      <w:iCs/>
      <w:sz w:val="22"/>
      <w:lang w:val="hu-HU" w:eastAsia="ja-JP"/>
    </w:rPr>
  </w:style>
  <w:style w:type="character" w:customStyle="1" w:styleId="Heading8Char">
    <w:name w:val="Heading 8 Char"/>
    <w:link w:val="Heading8"/>
    <w:rsid w:val="00D95C94"/>
    <w:rPr>
      <w:rFonts w:ascii="Arial Narrow" w:eastAsia="Times New Roman" w:hAnsi="Arial Narrow" w:cs="Times New Roman"/>
      <w:b/>
      <w:bCs/>
      <w:sz w:val="22"/>
      <w:lang w:val="hu-HU" w:eastAsia="ja-JP"/>
    </w:rPr>
  </w:style>
  <w:style w:type="character" w:customStyle="1" w:styleId="Heading9Char">
    <w:name w:val="Heading 9 Char"/>
    <w:link w:val="Heading9"/>
    <w:rsid w:val="00D95C94"/>
    <w:rPr>
      <w:rFonts w:ascii="Arial Narrow" w:eastAsia="Times New Roman" w:hAnsi="Arial Narrow" w:cs="Times New Roman"/>
      <w:i/>
      <w:sz w:val="18"/>
      <w:szCs w:val="20"/>
      <w:lang w:val="hu-HU" w:eastAsia="ja-JP"/>
    </w:rPr>
  </w:style>
  <w:style w:type="paragraph" w:styleId="HTMLPreformatted">
    <w:name w:val="HTML Preformatted"/>
    <w:basedOn w:val="Normal"/>
    <w:link w:val="HTMLPreformattedChar"/>
    <w:rsid w:val="00D95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D95C94"/>
    <w:rPr>
      <w:rFonts w:ascii="Arial Unicode MS" w:eastAsia="Arial Unicode MS" w:hAnsi="Arial Unicode MS" w:cs="Arial Unicode MS"/>
      <w:sz w:val="20"/>
      <w:szCs w:val="20"/>
      <w:lang w:val="hu-HU" w:eastAsia="ja-JP"/>
    </w:rPr>
  </w:style>
  <w:style w:type="character" w:styleId="Hyperlink">
    <w:name w:val="Hyperlink"/>
    <w:rsid w:val="00D95C94"/>
    <w:rPr>
      <w:rFonts w:ascii="Arial Narrow" w:hAnsi="Arial Narrow"/>
      <w:b/>
      <w:dstrike w:val="0"/>
      <w:color w:val="0000FF"/>
      <w:sz w:val="22"/>
      <w:u w:val="single"/>
      <w:vertAlign w:val="baseline"/>
    </w:rPr>
  </w:style>
  <w:style w:type="paragraph" w:customStyle="1" w:styleId="interjidzet">
    <w:name w:val="interjúidézet"/>
    <w:basedOn w:val="Normal"/>
    <w:rsid w:val="00D95C94"/>
    <w:pPr>
      <w:overflowPunct w:val="0"/>
      <w:autoSpaceDE w:val="0"/>
      <w:autoSpaceDN w:val="0"/>
      <w:adjustRightInd w:val="0"/>
      <w:spacing w:after="120"/>
      <w:textAlignment w:val="baseline"/>
    </w:pPr>
    <w:rPr>
      <w:i/>
      <w:sz w:val="20"/>
      <w:szCs w:val="20"/>
    </w:rPr>
  </w:style>
  <w:style w:type="character" w:customStyle="1" w:styleId="kekszoveg1">
    <w:name w:val="kek_szoveg1"/>
    <w:rsid w:val="00D95C94"/>
    <w:rPr>
      <w:rFonts w:ascii="Verdana" w:hAnsi="Verdana" w:hint="default"/>
      <w:b w:val="0"/>
      <w:bCs w:val="0"/>
      <w:strike w:val="0"/>
      <w:dstrike w:val="0"/>
      <w:color w:val="6291B3"/>
      <w:sz w:val="18"/>
      <w:szCs w:val="18"/>
      <w:u w:val="none"/>
      <w:effect w:val="none"/>
    </w:rPr>
  </w:style>
  <w:style w:type="paragraph" w:customStyle="1" w:styleId="krds">
    <w:name w:val="kérdés"/>
    <w:rsid w:val="00D95C94"/>
    <w:rPr>
      <w:rFonts w:ascii="Times New Roman" w:eastAsia="Times New Roman" w:hAnsi="Times New Roman" w:cs="Times New Roman"/>
      <w:b/>
      <w:szCs w:val="20"/>
      <w:lang w:val="hu-HU" w:eastAsia="hu-HU"/>
    </w:rPr>
  </w:style>
  <w:style w:type="paragraph" w:customStyle="1" w:styleId="kerdesek">
    <w:name w:val="kerdesek"/>
    <w:basedOn w:val="Normal"/>
    <w:qFormat/>
    <w:rsid w:val="00D95C94"/>
    <w:pPr>
      <w:keepNext/>
      <w:keepLines/>
      <w:numPr>
        <w:numId w:val="6"/>
      </w:numPr>
    </w:pPr>
    <w:rPr>
      <w:b/>
      <w:i/>
      <w:szCs w:val="22"/>
    </w:rPr>
  </w:style>
  <w:style w:type="character" w:customStyle="1" w:styleId="Lbjegyzet-karakterek">
    <w:name w:val="Lábjegyzet-karakterek"/>
    <w:rsid w:val="00D95C94"/>
    <w:rPr>
      <w:vertAlign w:val="superscript"/>
    </w:rPr>
  </w:style>
  <w:style w:type="character" w:customStyle="1" w:styleId="lead1">
    <w:name w:val="lead1"/>
    <w:rsid w:val="00D95C94"/>
    <w:rPr>
      <w:rFonts w:ascii="Verdana" w:hAnsi="Verdana" w:hint="default"/>
      <w:b/>
      <w:bCs/>
      <w:i w:val="0"/>
      <w:iCs w:val="0"/>
      <w:strike w:val="0"/>
      <w:dstrike w:val="0"/>
      <w:color w:val="FF7129"/>
      <w:sz w:val="18"/>
      <w:szCs w:val="18"/>
      <w:u w:val="none"/>
      <w:effect w:val="none"/>
    </w:rPr>
  </w:style>
  <w:style w:type="paragraph" w:styleId="ListBullet">
    <w:name w:val="List Bullet"/>
    <w:basedOn w:val="Normal"/>
    <w:next w:val="Normal"/>
    <w:autoRedefine/>
    <w:rsid w:val="00D95C94"/>
    <w:pPr>
      <w:spacing w:after="120"/>
      <w:ind w:right="252"/>
    </w:pPr>
    <w:rPr>
      <w:lang w:eastAsia="hu-HU"/>
    </w:rPr>
  </w:style>
  <w:style w:type="paragraph" w:styleId="ListParagraph">
    <w:name w:val="List Paragraph"/>
    <w:basedOn w:val="Normal"/>
    <w:uiPriority w:val="34"/>
    <w:qFormat/>
    <w:rsid w:val="00D95C94"/>
    <w:pPr>
      <w:ind w:left="720"/>
      <w:contextualSpacing/>
    </w:pPr>
  </w:style>
  <w:style w:type="paragraph" w:styleId="MessageHeader">
    <w:name w:val="Message Header"/>
    <w:basedOn w:val="Normal"/>
    <w:link w:val="MessageHeaderChar"/>
    <w:rsid w:val="00D95C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D95C94"/>
    <w:rPr>
      <w:rFonts w:ascii="Arial" w:eastAsia="Times New Roman" w:hAnsi="Arial" w:cs="Times New Roman"/>
      <w:sz w:val="22"/>
      <w:shd w:val="pct20" w:color="auto" w:fill="auto"/>
      <w:lang w:val="hu-HU" w:eastAsia="ja-JP"/>
    </w:rPr>
  </w:style>
  <w:style w:type="paragraph" w:styleId="NormalWeb">
    <w:name w:val="Normal (Web)"/>
    <w:basedOn w:val="Normal"/>
    <w:rsid w:val="00D95C94"/>
    <w:pPr>
      <w:spacing w:before="100" w:beforeAutospacing="1" w:after="100" w:afterAutospacing="1"/>
    </w:pPr>
    <w:rPr>
      <w:color w:val="000000"/>
      <w:lang w:val="en-GB"/>
    </w:rPr>
  </w:style>
  <w:style w:type="paragraph" w:customStyle="1" w:styleId="Norml1">
    <w:name w:val="Normál1"/>
    <w:rsid w:val="00D95C94"/>
    <w:pPr>
      <w:tabs>
        <w:tab w:val="left" w:pos="567"/>
      </w:tabs>
      <w:spacing w:before="120" w:line="360" w:lineRule="auto"/>
      <w:jc w:val="both"/>
    </w:pPr>
    <w:rPr>
      <w:rFonts w:ascii="Arial Narrow" w:eastAsia="ヒラギノ角ゴ Pro W3" w:hAnsi="Arial Narrow" w:cs="Times New Roman"/>
      <w:color w:val="000000"/>
      <w:sz w:val="22"/>
      <w:szCs w:val="20"/>
      <w:lang w:val="hu-HU" w:eastAsia="hu-HU"/>
    </w:rPr>
  </w:style>
  <w:style w:type="paragraph" w:customStyle="1" w:styleId="NoteLevel21">
    <w:name w:val="Note Level 21"/>
    <w:basedOn w:val="Normal"/>
    <w:qFormat/>
    <w:rsid w:val="00D95C94"/>
    <w:pPr>
      <w:keepNext/>
      <w:outlineLvl w:val="1"/>
    </w:pPr>
    <w:rPr>
      <w:rFonts w:eastAsia="MS Gothic"/>
    </w:rPr>
  </w:style>
  <w:style w:type="paragraph" w:customStyle="1" w:styleId="NoteLevel31">
    <w:name w:val="Note Level 31"/>
    <w:basedOn w:val="Normal"/>
    <w:rsid w:val="00D95C94"/>
    <w:pPr>
      <w:keepNext/>
      <w:outlineLvl w:val="2"/>
    </w:pPr>
    <w:rPr>
      <w:rFonts w:eastAsia="MS Gothic"/>
    </w:rPr>
  </w:style>
  <w:style w:type="paragraph" w:customStyle="1" w:styleId="NoteLevel41">
    <w:name w:val="Note Level 41"/>
    <w:basedOn w:val="Normal"/>
    <w:rsid w:val="00D95C94"/>
    <w:pPr>
      <w:keepNext/>
      <w:outlineLvl w:val="3"/>
    </w:pPr>
    <w:rPr>
      <w:rFonts w:eastAsia="MS Gothic"/>
    </w:rPr>
  </w:style>
  <w:style w:type="paragraph" w:customStyle="1" w:styleId="NoteLevel51">
    <w:name w:val="Note Level 51"/>
    <w:basedOn w:val="Normal"/>
    <w:rsid w:val="00D95C94"/>
    <w:pPr>
      <w:keepNext/>
      <w:outlineLvl w:val="4"/>
    </w:pPr>
    <w:rPr>
      <w:rFonts w:eastAsia="MS Gothic"/>
    </w:rPr>
  </w:style>
  <w:style w:type="paragraph" w:customStyle="1" w:styleId="NoteLevel61">
    <w:name w:val="Note Level 61"/>
    <w:basedOn w:val="Normal"/>
    <w:rsid w:val="00D95C94"/>
    <w:pPr>
      <w:keepNext/>
      <w:outlineLvl w:val="5"/>
    </w:pPr>
    <w:rPr>
      <w:rFonts w:eastAsia="MS Gothic"/>
    </w:rPr>
  </w:style>
  <w:style w:type="character" w:styleId="PageNumber">
    <w:name w:val="page number"/>
    <w:basedOn w:val="DefaultParagraphFont"/>
    <w:rsid w:val="00D95C94"/>
  </w:style>
  <w:style w:type="paragraph" w:styleId="PlainText">
    <w:name w:val="Plain Text"/>
    <w:basedOn w:val="Normal"/>
    <w:link w:val="PlainTextChar"/>
    <w:rsid w:val="00D95C9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lainTextChar">
    <w:name w:val="Plain Text Char"/>
    <w:link w:val="PlainText"/>
    <w:rsid w:val="00D95C94"/>
    <w:rPr>
      <w:rFonts w:ascii="Arial Narrow" w:eastAsia="Times New Roman" w:hAnsi="Arial Narrow" w:cs="Times New Roman"/>
      <w:sz w:val="22"/>
      <w:szCs w:val="20"/>
      <w:lang w:val="hu-HU" w:eastAsia="ja-JP"/>
    </w:rPr>
  </w:style>
  <w:style w:type="paragraph" w:styleId="Revision">
    <w:name w:val="Revision"/>
    <w:rsid w:val="00D95C94"/>
    <w:rPr>
      <w:rFonts w:ascii="Arial Narrow" w:eastAsia="Times New Roman" w:hAnsi="Arial Narrow" w:cs="Times New Roman"/>
      <w:sz w:val="22"/>
      <w:szCs w:val="20"/>
      <w:lang w:val="hu-HU" w:eastAsia="hu-HU"/>
    </w:rPr>
  </w:style>
  <w:style w:type="paragraph" w:customStyle="1" w:styleId="StlusCmsor1Eltte6pt">
    <w:name w:val="Stílus Címsor 1 + Előtte:  6 pt"/>
    <w:basedOn w:val="Heading1"/>
    <w:autoRedefine/>
    <w:rsid w:val="00D95C94"/>
    <w:pPr>
      <w:pageBreakBefore w:val="0"/>
      <w:numPr>
        <w:numId w:val="0"/>
      </w:numPr>
    </w:pPr>
    <w:rPr>
      <w:bCs/>
      <w:caps/>
      <w:sz w:val="24"/>
    </w:rPr>
  </w:style>
  <w:style w:type="paragraph" w:customStyle="1" w:styleId="StlusCmsor2Elssor125cm">
    <w:name w:val="Stílus Címsor 2 + Első sor:  125 cm"/>
    <w:basedOn w:val="Heading2"/>
    <w:rsid w:val="00D95C94"/>
    <w:pPr>
      <w:numPr>
        <w:ilvl w:val="0"/>
        <w:numId w:val="0"/>
      </w:numPr>
      <w:tabs>
        <w:tab w:val="clear" w:pos="567"/>
      </w:tabs>
      <w:spacing w:before="360" w:after="240" w:line="240" w:lineRule="auto"/>
      <w:ind w:firstLine="709"/>
      <w:jc w:val="left"/>
    </w:pPr>
    <w:rPr>
      <w:rFonts w:ascii="Book Antiqua" w:hAnsi="Book Antiqua"/>
      <w:bCs/>
      <w:i w:val="0"/>
      <w:iCs/>
      <w:szCs w:val="20"/>
      <w:u w:val="none"/>
      <w:lang w:eastAsia="hu-HU"/>
    </w:rPr>
  </w:style>
  <w:style w:type="paragraph" w:customStyle="1" w:styleId="tblzatsorszma">
    <w:name w:val="táblázat sorszáma"/>
    <w:basedOn w:val="Normal"/>
    <w:next w:val="Normal"/>
    <w:autoRedefine/>
    <w:qFormat/>
    <w:rsid w:val="00D95C94"/>
    <w:pPr>
      <w:keepNext/>
      <w:keepLines/>
      <w:numPr>
        <w:numId w:val="9"/>
      </w:numPr>
      <w:tabs>
        <w:tab w:val="clear" w:pos="567"/>
      </w:tabs>
      <w:spacing w:line="240" w:lineRule="auto"/>
      <w:jc w:val="center"/>
    </w:pPr>
    <w:rPr>
      <w:b/>
      <w:iCs/>
      <w:szCs w:val="20"/>
      <w:lang w:eastAsia="hu-HU"/>
    </w:rPr>
  </w:style>
  <w:style w:type="table" w:styleId="Table3Deffects1">
    <w:name w:val="Table 3D effects 1"/>
    <w:basedOn w:val="TableNormal"/>
    <w:rsid w:val="00D95C94"/>
    <w:pPr>
      <w:tabs>
        <w:tab w:val="left" w:pos="567"/>
      </w:tabs>
      <w:spacing w:before="120" w:line="360" w:lineRule="auto"/>
      <w:jc w:val="both"/>
    </w:pPr>
    <w:rPr>
      <w:rFonts w:ascii="Arial Narrow" w:eastAsia="Times New Roman" w:hAnsi="Arial Narrow" w:cs="Times New Roman"/>
      <w:sz w:val="20"/>
      <w:szCs w:val="20"/>
      <w:lang w:eastAsia="hu-H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95C94"/>
    <w:pPr>
      <w:tabs>
        <w:tab w:val="left" w:pos="567"/>
      </w:tabs>
      <w:spacing w:before="120" w:line="360" w:lineRule="auto"/>
      <w:jc w:val="both"/>
    </w:pPr>
    <w:rPr>
      <w:rFonts w:ascii="Arial Narrow" w:eastAsia="Times New Roman" w:hAnsi="Arial Narrow" w:cs="Times New Roman"/>
      <w:sz w:val="20"/>
      <w:szCs w:val="20"/>
      <w:lang w:eastAsia="hu-H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95C94"/>
    <w:pPr>
      <w:tabs>
        <w:tab w:val="left" w:pos="567"/>
      </w:tabs>
      <w:spacing w:before="120" w:line="360" w:lineRule="auto"/>
      <w:jc w:val="both"/>
    </w:pPr>
    <w:rPr>
      <w:rFonts w:ascii="Arial Narrow" w:eastAsia="Times New Roman" w:hAnsi="Arial Narrow" w:cs="Times New Roman"/>
      <w:sz w:val="20"/>
      <w:szCs w:val="20"/>
      <w:lang w:eastAsia="hu-H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95C94"/>
    <w:pPr>
      <w:tabs>
        <w:tab w:val="left" w:pos="567"/>
      </w:tabs>
      <w:spacing w:before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95C94"/>
    <w:pPr>
      <w:tabs>
        <w:tab w:val="left" w:pos="567"/>
      </w:tabs>
      <w:spacing w:before="120" w:line="360" w:lineRule="auto"/>
      <w:jc w:val="both"/>
    </w:pPr>
    <w:rPr>
      <w:rFonts w:ascii="Arial Narrow" w:eastAsia="Times New Roman" w:hAnsi="Arial Narrow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rsid w:val="00D95C94"/>
    <w:pPr>
      <w:tabs>
        <w:tab w:val="left" w:pos="567"/>
      </w:tabs>
      <w:spacing w:before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95C94"/>
    <w:pPr>
      <w:spacing w:after="120"/>
      <w:jc w:val="center"/>
    </w:pPr>
    <w:rPr>
      <w:b/>
      <w:bCs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ink w:val="Title"/>
    <w:rsid w:val="00D95C94"/>
    <w:rPr>
      <w:rFonts w:ascii="Arial Narrow" w:eastAsia="Times New Roman" w:hAnsi="Arial Narrow" w:cs="Times New Roman"/>
      <w:b/>
      <w:bCs/>
      <w:sz w:val="48"/>
      <w:lang w:val="hu-HU"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1">
    <w:name w:val="toc 1"/>
    <w:basedOn w:val="Normal"/>
    <w:next w:val="Normal"/>
    <w:autoRedefine/>
    <w:semiHidden/>
    <w:rsid w:val="00D95C94"/>
    <w:pPr>
      <w:tabs>
        <w:tab w:val="clear" w:pos="567"/>
      </w:tabs>
      <w:spacing w:after="120"/>
      <w:jc w:val="left"/>
    </w:pPr>
    <w:rPr>
      <w:rFonts w:ascii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autoRedefine/>
    <w:qFormat/>
    <w:rsid w:val="00D95C94"/>
    <w:pPr>
      <w:tabs>
        <w:tab w:val="clear" w:pos="567"/>
      </w:tabs>
      <w:spacing w:before="0"/>
      <w:ind w:left="220"/>
      <w:jc w:val="left"/>
    </w:pPr>
    <w:rPr>
      <w:rFonts w:ascii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D95C94"/>
    <w:pPr>
      <w:tabs>
        <w:tab w:val="clear" w:pos="567"/>
      </w:tabs>
      <w:spacing w:before="0"/>
      <w:ind w:left="440"/>
      <w:jc w:val="left"/>
    </w:pPr>
    <w:rPr>
      <w:rFonts w:ascii="Times New Roman" w:hAnsi="Times New Roman"/>
      <w:i/>
      <w:sz w:val="20"/>
      <w:szCs w:val="20"/>
    </w:rPr>
  </w:style>
  <w:style w:type="paragraph" w:styleId="TOC4">
    <w:name w:val="toc 4"/>
    <w:basedOn w:val="Normal"/>
    <w:next w:val="Normal"/>
    <w:autoRedefine/>
    <w:rsid w:val="00D95C94"/>
    <w:pPr>
      <w:tabs>
        <w:tab w:val="clear" w:pos="567"/>
      </w:tabs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rsid w:val="00D95C94"/>
    <w:pPr>
      <w:tabs>
        <w:tab w:val="clear" w:pos="567"/>
      </w:tabs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rsid w:val="00D95C94"/>
    <w:pPr>
      <w:tabs>
        <w:tab w:val="clear" w:pos="567"/>
      </w:tabs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rsid w:val="00D95C94"/>
    <w:pPr>
      <w:tabs>
        <w:tab w:val="clear" w:pos="567"/>
      </w:tabs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rsid w:val="00D95C94"/>
    <w:pPr>
      <w:tabs>
        <w:tab w:val="clear" w:pos="567"/>
      </w:tabs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rsid w:val="00D95C94"/>
    <w:pPr>
      <w:tabs>
        <w:tab w:val="clear" w:pos="567"/>
      </w:tabs>
      <w:spacing w:before="0"/>
      <w:ind w:left="1760"/>
      <w:jc w:val="left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Classic 1" w:uiPriority="0"/>
    <w:lsdException w:name="Table 3D effects 1" w:uiPriority="0"/>
    <w:lsdException w:name="Table 3D effects 2" w:uiPriority="0"/>
    <w:lsdException w:name="Table 3D effects 3" w:uiPriority="0"/>
    <w:lsdException w:name="Table Web 3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94"/>
    <w:pPr>
      <w:tabs>
        <w:tab w:val="left" w:pos="567"/>
      </w:tabs>
      <w:spacing w:before="120" w:line="360" w:lineRule="auto"/>
      <w:jc w:val="both"/>
    </w:pPr>
    <w:rPr>
      <w:rFonts w:ascii="Arial Narrow" w:eastAsia="Times New Roman" w:hAnsi="Arial Narrow" w:cs="Times New Roman"/>
      <w:sz w:val="22"/>
      <w:lang w:val="hu-HU"/>
    </w:rPr>
  </w:style>
  <w:style w:type="paragraph" w:styleId="Heading1">
    <w:name w:val="heading 1"/>
    <w:basedOn w:val="Normal"/>
    <w:next w:val="Normal"/>
    <w:link w:val="Heading1Char"/>
    <w:autoRedefine/>
    <w:qFormat/>
    <w:rsid w:val="00D95C94"/>
    <w:pPr>
      <w:keepNext/>
      <w:pageBreakBefore/>
      <w:numPr>
        <w:numId w:val="2"/>
      </w:numPr>
      <w:spacing w:before="240"/>
      <w:outlineLvl w:val="0"/>
    </w:pPr>
    <w:rPr>
      <w:b/>
      <w:szCs w:val="20"/>
      <w:u w:val="thick"/>
    </w:rPr>
  </w:style>
  <w:style w:type="paragraph" w:styleId="Heading2">
    <w:name w:val="heading 2"/>
    <w:basedOn w:val="Normal"/>
    <w:next w:val="Normal"/>
    <w:link w:val="Heading2Char"/>
    <w:autoRedefine/>
    <w:qFormat/>
    <w:rsid w:val="00D95C94"/>
    <w:pPr>
      <w:keepNext/>
      <w:numPr>
        <w:ilvl w:val="1"/>
        <w:numId w:val="4"/>
      </w:numPr>
      <w:tabs>
        <w:tab w:val="num" w:pos="720"/>
      </w:tabs>
      <w:ind w:left="1080" w:hanging="360"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D95C94"/>
    <w:pPr>
      <w:keepNext/>
      <w:numPr>
        <w:ilvl w:val="2"/>
        <w:numId w:val="4"/>
      </w:numPr>
      <w:outlineLvl w:val="2"/>
    </w:pPr>
    <w:rPr>
      <w:i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D95C94"/>
    <w:pPr>
      <w:keepNext/>
      <w:numPr>
        <w:ilvl w:val="2"/>
        <w:numId w:val="5"/>
      </w:numPr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D95C94"/>
    <w:pPr>
      <w:keepNext/>
      <w:outlineLvl w:val="4"/>
    </w:pPr>
    <w:rPr>
      <w:i/>
      <w:szCs w:val="20"/>
    </w:rPr>
  </w:style>
  <w:style w:type="paragraph" w:styleId="Heading6">
    <w:name w:val="heading 6"/>
    <w:basedOn w:val="Normal"/>
    <w:next w:val="Normal"/>
    <w:link w:val="Heading6Char"/>
    <w:qFormat/>
    <w:rsid w:val="00D95C94"/>
    <w:pPr>
      <w:keepNext/>
      <w:outlineLvl w:val="5"/>
    </w:pPr>
    <w:rPr>
      <w:b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D95C94"/>
    <w:pPr>
      <w:keepNext/>
      <w:spacing w:before="240"/>
      <w:outlineLvl w:val="6"/>
    </w:pPr>
    <w:rPr>
      <w:b/>
      <w:i/>
      <w:iCs/>
    </w:rPr>
  </w:style>
  <w:style w:type="paragraph" w:styleId="Heading8">
    <w:name w:val="heading 8"/>
    <w:basedOn w:val="Normal"/>
    <w:next w:val="Normal"/>
    <w:link w:val="Heading8Char"/>
    <w:autoRedefine/>
    <w:qFormat/>
    <w:rsid w:val="00D95C94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D95C94"/>
    <w:pPr>
      <w:overflowPunct w:val="0"/>
      <w:autoSpaceDE w:val="0"/>
      <w:autoSpaceDN w:val="0"/>
      <w:adjustRightInd w:val="0"/>
      <w:spacing w:before="240" w:after="60" w:line="280" w:lineRule="exact"/>
      <w:ind w:left="5891" w:hanging="720"/>
      <w:textAlignment w:val="baseline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cme">
    <w:name w:val="ábra címe"/>
    <w:basedOn w:val="Normal"/>
    <w:autoRedefine/>
    <w:rsid w:val="00D95C94"/>
    <w:pPr>
      <w:keepNext/>
      <w:jc w:val="center"/>
    </w:pPr>
    <w:rPr>
      <w:rFonts w:eastAsia="Arial Unicode MS" w:cs="Arial"/>
      <w:b/>
      <w:bCs/>
      <w:i/>
      <w:lang w:eastAsia="hu-HU"/>
    </w:rPr>
  </w:style>
  <w:style w:type="paragraph" w:customStyle="1" w:styleId="braalcme">
    <w:name w:val="ábra alcíme"/>
    <w:basedOn w:val="bracme"/>
    <w:rsid w:val="00D95C94"/>
    <w:rPr>
      <w:b w:val="0"/>
      <w:bCs w:val="0"/>
      <w:iCs/>
    </w:rPr>
  </w:style>
  <w:style w:type="paragraph" w:customStyle="1" w:styleId="brasorszma">
    <w:name w:val="Ábra sorszáma"/>
    <w:basedOn w:val="Normal"/>
    <w:next w:val="Normal"/>
    <w:autoRedefine/>
    <w:rsid w:val="00D95C94"/>
    <w:pPr>
      <w:keepNext/>
      <w:numPr>
        <w:numId w:val="1"/>
      </w:numPr>
      <w:jc w:val="center"/>
    </w:pPr>
    <w:rPr>
      <w:b/>
      <w:bCs/>
      <w:lang w:eastAsia="hu-HU"/>
    </w:rPr>
  </w:style>
  <w:style w:type="paragraph" w:customStyle="1" w:styleId="albekezds">
    <w:name w:val="albekezdés"/>
    <w:basedOn w:val="Normal"/>
    <w:rsid w:val="00D95C94"/>
    <w:pPr>
      <w:ind w:left="540" w:hanging="183"/>
    </w:pPr>
  </w:style>
  <w:style w:type="paragraph" w:customStyle="1" w:styleId="alcm">
    <w:name w:val="alcím"/>
    <w:basedOn w:val="Normal"/>
    <w:next w:val="Normal"/>
    <w:rsid w:val="00D95C94"/>
    <w:pPr>
      <w:spacing w:before="240" w:after="120" w:line="480" w:lineRule="auto"/>
      <w:jc w:val="center"/>
    </w:pPr>
    <w:rPr>
      <w:b/>
      <w:i/>
      <w:color w:val="000000"/>
      <w:sz w:val="28"/>
    </w:rPr>
  </w:style>
  <w:style w:type="paragraph" w:styleId="BalloonText">
    <w:name w:val="Balloon Text"/>
    <w:basedOn w:val="Normal"/>
    <w:link w:val="BalloonTextChar"/>
    <w:semiHidden/>
    <w:rsid w:val="00D95C94"/>
    <w:rPr>
      <w:sz w:val="18"/>
      <w:szCs w:val="18"/>
      <w:lang w:val="cs-CZ"/>
    </w:rPr>
  </w:style>
  <w:style w:type="character" w:customStyle="1" w:styleId="BalloonTextChar">
    <w:name w:val="Balloon Text Char"/>
    <w:link w:val="BalloonText"/>
    <w:semiHidden/>
    <w:rsid w:val="00D95C94"/>
    <w:rPr>
      <w:rFonts w:ascii="Arial Narrow" w:eastAsia="Times New Roman" w:hAnsi="Arial Narrow" w:cs="Times New Roman"/>
      <w:sz w:val="18"/>
      <w:szCs w:val="18"/>
      <w:lang w:val="cs-CZ" w:eastAsia="ja-JP"/>
    </w:rPr>
  </w:style>
  <w:style w:type="character" w:customStyle="1" w:styleId="Bekezdsalap-betutpusa">
    <w:name w:val="Bekezdés alap-betutípusa"/>
    <w:rsid w:val="00D95C94"/>
    <w:rPr>
      <w:rFonts w:ascii="Arial Narrow" w:hAnsi="Arial Narrow"/>
      <w:sz w:val="22"/>
    </w:rPr>
  </w:style>
  <w:style w:type="paragraph" w:customStyle="1" w:styleId="bels">
    <w:name w:val="belső"/>
    <w:basedOn w:val="Normal"/>
    <w:rsid w:val="00D95C94"/>
    <w:pPr>
      <w:autoSpaceDE w:val="0"/>
      <w:autoSpaceDN w:val="0"/>
      <w:adjustRightInd w:val="0"/>
    </w:pPr>
    <w:rPr>
      <w:szCs w:val="20"/>
    </w:rPr>
  </w:style>
  <w:style w:type="paragraph" w:styleId="BodyText">
    <w:name w:val="Body Text"/>
    <w:basedOn w:val="Normal"/>
    <w:link w:val="BodyTextChar"/>
    <w:rsid w:val="00D95C94"/>
    <w:rPr>
      <w:szCs w:val="20"/>
    </w:rPr>
  </w:style>
  <w:style w:type="character" w:customStyle="1" w:styleId="BodyTextChar">
    <w:name w:val="Body Text Char"/>
    <w:link w:val="BodyText"/>
    <w:rsid w:val="00D95C94"/>
    <w:rPr>
      <w:rFonts w:ascii="Arial Narrow" w:eastAsia="Times New Roman" w:hAnsi="Arial Narrow" w:cs="Times New Roman"/>
      <w:sz w:val="22"/>
      <w:szCs w:val="20"/>
      <w:lang w:val="hu-HU" w:eastAsia="ja-JP"/>
    </w:rPr>
  </w:style>
  <w:style w:type="paragraph" w:styleId="BodyText2">
    <w:name w:val="Body Text 2"/>
    <w:basedOn w:val="Normal"/>
    <w:link w:val="BodyText2Char"/>
    <w:rsid w:val="00D95C94"/>
    <w:pPr>
      <w:spacing w:after="120" w:line="480" w:lineRule="auto"/>
    </w:pPr>
  </w:style>
  <w:style w:type="character" w:customStyle="1" w:styleId="BodyText2Char">
    <w:name w:val="Body Text 2 Char"/>
    <w:link w:val="BodyText2"/>
    <w:rsid w:val="00D95C94"/>
    <w:rPr>
      <w:rFonts w:ascii="Arial Narrow" w:eastAsia="Times New Roman" w:hAnsi="Arial Narrow" w:cs="Times New Roman"/>
      <w:sz w:val="22"/>
      <w:lang w:val="hu-HU" w:eastAsia="ja-JP"/>
    </w:rPr>
  </w:style>
  <w:style w:type="paragraph" w:styleId="BodyTextIndent">
    <w:name w:val="Body Text Indent"/>
    <w:basedOn w:val="Normal"/>
    <w:link w:val="BodyTextIndentChar"/>
    <w:rsid w:val="00D95C9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95C94"/>
    <w:rPr>
      <w:rFonts w:ascii="Arial Narrow" w:eastAsia="Times New Roman" w:hAnsi="Arial Narrow" w:cs="Times New Roman"/>
      <w:sz w:val="22"/>
      <w:lang w:val="hu-HU" w:eastAsia="ja-JP"/>
    </w:rPr>
  </w:style>
  <w:style w:type="paragraph" w:styleId="Caption">
    <w:name w:val="caption"/>
    <w:basedOn w:val="Normal"/>
    <w:next w:val="Normal"/>
    <w:qFormat/>
    <w:rsid w:val="00D95C94"/>
    <w:pPr>
      <w:autoSpaceDE w:val="0"/>
      <w:autoSpaceDN w:val="0"/>
      <w:adjustRightInd w:val="0"/>
    </w:pPr>
    <w:rPr>
      <w:i/>
      <w:iCs/>
      <w:sz w:val="20"/>
    </w:rPr>
  </w:style>
  <w:style w:type="character" w:customStyle="1" w:styleId="CharChar">
    <w:name w:val="Char Char"/>
    <w:rsid w:val="00D95C94"/>
    <w:rPr>
      <w:sz w:val="16"/>
    </w:rPr>
  </w:style>
  <w:style w:type="character" w:customStyle="1" w:styleId="Char1">
    <w:name w:val="Char1"/>
    <w:rsid w:val="00D95C94"/>
    <w:rPr>
      <w:b/>
    </w:rPr>
  </w:style>
  <w:style w:type="character" w:customStyle="1" w:styleId="Char2">
    <w:name w:val="Char2"/>
    <w:basedOn w:val="DefaultParagraphFont"/>
    <w:rsid w:val="00D95C94"/>
  </w:style>
  <w:style w:type="character" w:customStyle="1" w:styleId="cim1">
    <w:name w:val="cim1"/>
    <w:rsid w:val="00D95C94"/>
    <w:rPr>
      <w:rFonts w:ascii="Arial Narrow" w:hAnsi="Arial Narrow" w:cs="Times New Roman"/>
      <w:b/>
      <w:bCs/>
      <w:i/>
      <w:color w:val="000000"/>
      <w:position w:val="0"/>
      <w:sz w:val="36"/>
      <w:szCs w:val="36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m1">
    <w:name w:val="Cím1"/>
    <w:rsid w:val="00D95C94"/>
    <w:pPr>
      <w:tabs>
        <w:tab w:val="left" w:pos="567"/>
      </w:tabs>
      <w:spacing w:before="120" w:after="120" w:line="360" w:lineRule="auto"/>
      <w:jc w:val="center"/>
    </w:pPr>
    <w:rPr>
      <w:rFonts w:ascii="Arial Narrow" w:eastAsia="ヒラギノ角ゴ Pro W3" w:hAnsi="Arial Narrow" w:cs="Times New Roman"/>
      <w:b/>
      <w:color w:val="000000"/>
      <w:sz w:val="48"/>
      <w:szCs w:val="20"/>
      <w:lang w:val="hu-HU" w:eastAsia="hu-HU"/>
    </w:rPr>
  </w:style>
  <w:style w:type="paragraph" w:customStyle="1" w:styleId="Cmsor11">
    <w:name w:val="Címsor 11"/>
    <w:next w:val="Normal"/>
    <w:rsid w:val="00D95C94"/>
    <w:pPr>
      <w:keepNext/>
      <w:pageBreakBefore/>
      <w:spacing w:before="240" w:after="120" w:line="360" w:lineRule="auto"/>
      <w:jc w:val="center"/>
    </w:pPr>
    <w:rPr>
      <w:rFonts w:ascii="Arial Narrow" w:eastAsia="ヒラギノ角ゴ Pro W3" w:hAnsi="Arial Narrow" w:cs="Times New Roman"/>
      <w:b/>
      <w:color w:val="000000"/>
      <w:sz w:val="28"/>
      <w:szCs w:val="20"/>
      <w:u w:val="single"/>
      <w:lang w:val="hu-HU" w:eastAsia="hu-HU"/>
    </w:rPr>
  </w:style>
  <w:style w:type="paragraph" w:customStyle="1" w:styleId="Cmsor81">
    <w:name w:val="Címsor 81"/>
    <w:next w:val="Normal"/>
    <w:rsid w:val="00D95C94"/>
    <w:pPr>
      <w:keepNext/>
      <w:tabs>
        <w:tab w:val="left" w:pos="567"/>
      </w:tabs>
      <w:spacing w:before="120" w:line="360" w:lineRule="auto"/>
      <w:jc w:val="center"/>
    </w:pPr>
    <w:rPr>
      <w:rFonts w:ascii="Arial Narrow" w:eastAsia="ヒラギノ角ゴ Pro W3" w:hAnsi="Arial Narrow" w:cs="Times New Roman"/>
      <w:b/>
      <w:color w:val="000000"/>
      <w:szCs w:val="20"/>
      <w:u w:val="single"/>
      <w:lang w:val="hu-HU" w:eastAsia="hu-HU"/>
    </w:rPr>
  </w:style>
  <w:style w:type="character" w:styleId="CommentReference">
    <w:name w:val="annotation reference"/>
    <w:semiHidden/>
    <w:unhideWhenUsed/>
    <w:rsid w:val="00D95C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5C9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95C94"/>
    <w:rPr>
      <w:rFonts w:ascii="Arial Narrow" w:eastAsia="Times New Roman" w:hAnsi="Arial Narrow" w:cs="Times New Roman"/>
      <w:sz w:val="20"/>
      <w:szCs w:val="20"/>
      <w:lang w:val="hu-H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5C94"/>
    <w:rPr>
      <w:sz w:val="22"/>
    </w:rPr>
  </w:style>
  <w:style w:type="character" w:customStyle="1" w:styleId="CommentSubjectChar">
    <w:name w:val="Comment Subject Char"/>
    <w:link w:val="CommentSubject"/>
    <w:semiHidden/>
    <w:rsid w:val="00D95C94"/>
    <w:rPr>
      <w:rFonts w:ascii="Arial Narrow" w:eastAsia="Times New Roman" w:hAnsi="Arial Narrow" w:cs="Times New Roman"/>
      <w:sz w:val="22"/>
      <w:szCs w:val="20"/>
      <w:lang w:val="hu-HU" w:eastAsia="ja-JP"/>
    </w:rPr>
  </w:style>
  <w:style w:type="paragraph" w:customStyle="1" w:styleId="Default">
    <w:name w:val="Default"/>
    <w:autoRedefine/>
    <w:rsid w:val="00D95C94"/>
    <w:pPr>
      <w:autoSpaceDE w:val="0"/>
      <w:autoSpaceDN w:val="0"/>
      <w:adjustRightInd w:val="0"/>
      <w:spacing w:before="120" w:line="360" w:lineRule="auto"/>
      <w:jc w:val="both"/>
    </w:pPr>
    <w:rPr>
      <w:rFonts w:ascii="Arial Narrow" w:eastAsia="Times New Roman" w:hAnsi="Arial Narrow" w:cs="Times New Roman"/>
      <w:sz w:val="22"/>
      <w:szCs w:val="20"/>
      <w:lang w:val="hu-HU" w:eastAsia="hu-HU"/>
    </w:rPr>
  </w:style>
  <w:style w:type="paragraph" w:styleId="DocumentMap">
    <w:name w:val="Document Map"/>
    <w:basedOn w:val="Normal"/>
    <w:link w:val="DocumentMapChar"/>
    <w:semiHidden/>
    <w:rsid w:val="00D95C94"/>
    <w:pPr>
      <w:shd w:val="clear" w:color="auto" w:fill="C6D5EC"/>
    </w:pPr>
  </w:style>
  <w:style w:type="character" w:customStyle="1" w:styleId="DocumentMapChar">
    <w:name w:val="Document Map Char"/>
    <w:link w:val="DocumentMap"/>
    <w:semiHidden/>
    <w:rsid w:val="00D95C94"/>
    <w:rPr>
      <w:rFonts w:ascii="Arial Narrow" w:eastAsia="Times New Roman" w:hAnsi="Arial Narrow" w:cs="Times New Roman"/>
      <w:sz w:val="22"/>
      <w:shd w:val="clear" w:color="auto" w:fill="C6D5EC"/>
      <w:lang w:val="hu-HU" w:eastAsia="ja-JP"/>
    </w:rPr>
  </w:style>
  <w:style w:type="paragraph" w:customStyle="1" w:styleId="llb1">
    <w:name w:val="Élőláb1"/>
    <w:rsid w:val="00D95C94"/>
    <w:pPr>
      <w:tabs>
        <w:tab w:val="center" w:pos="4536"/>
        <w:tab w:val="right" w:pos="9072"/>
      </w:tabs>
      <w:spacing w:before="120" w:line="360" w:lineRule="auto"/>
      <w:jc w:val="both"/>
    </w:pPr>
    <w:rPr>
      <w:rFonts w:ascii="Arial Narrow" w:eastAsia="ヒラギノ角ゴ Pro W3" w:hAnsi="Arial Narrow" w:cs="Times New Roman"/>
      <w:color w:val="000000"/>
      <w:sz w:val="22"/>
      <w:szCs w:val="20"/>
      <w:lang w:val="hu-HU" w:eastAsia="hu-HU"/>
    </w:rPr>
  </w:style>
  <w:style w:type="character" w:styleId="Emphasis">
    <w:name w:val="Emphasis"/>
    <w:qFormat/>
    <w:rsid w:val="00D95C94"/>
    <w:rPr>
      <w:i/>
      <w:iCs/>
    </w:rPr>
  </w:style>
  <w:style w:type="character" w:styleId="EndnoteReference">
    <w:name w:val="endnote reference"/>
    <w:rsid w:val="00D95C94"/>
    <w:rPr>
      <w:vertAlign w:val="superscript"/>
    </w:rPr>
  </w:style>
  <w:style w:type="paragraph" w:styleId="EndnoteText">
    <w:name w:val="endnote text"/>
    <w:basedOn w:val="Normal"/>
    <w:link w:val="EndnoteTextChar"/>
    <w:rsid w:val="00D95C94"/>
    <w:rPr>
      <w:sz w:val="20"/>
      <w:szCs w:val="20"/>
      <w:lang w:eastAsia="hu-HU"/>
    </w:rPr>
  </w:style>
  <w:style w:type="character" w:customStyle="1" w:styleId="EndnoteTextChar">
    <w:name w:val="Endnote Text Char"/>
    <w:link w:val="EndnoteText"/>
    <w:rsid w:val="00D95C94"/>
    <w:rPr>
      <w:rFonts w:ascii="Arial Narrow" w:eastAsia="Times New Roman" w:hAnsi="Arial Narrow" w:cs="Times New Roman"/>
      <w:sz w:val="20"/>
      <w:szCs w:val="20"/>
      <w:lang w:val="hu-HU" w:eastAsia="hu-HU"/>
    </w:rPr>
  </w:style>
  <w:style w:type="paragraph" w:customStyle="1" w:styleId="fels">
    <w:name w:val="fels"/>
    <w:basedOn w:val="Normal"/>
    <w:rsid w:val="00D95C94"/>
    <w:pPr>
      <w:tabs>
        <w:tab w:val="num" w:pos="360"/>
      </w:tabs>
      <w:autoSpaceDE w:val="0"/>
      <w:autoSpaceDN w:val="0"/>
      <w:adjustRightInd w:val="0"/>
      <w:ind w:left="360" w:hanging="360"/>
    </w:pPr>
    <w:rPr>
      <w:szCs w:val="20"/>
      <w:lang w:eastAsia="hu-HU"/>
    </w:rPr>
  </w:style>
  <w:style w:type="character" w:customStyle="1" w:styleId="Heading1Char">
    <w:name w:val="Heading 1 Char"/>
    <w:link w:val="Heading1"/>
    <w:rsid w:val="00D95C94"/>
    <w:rPr>
      <w:rFonts w:ascii="Arial Narrow" w:eastAsia="Times New Roman" w:hAnsi="Arial Narrow" w:cs="Times New Roman"/>
      <w:b/>
      <w:sz w:val="22"/>
      <w:szCs w:val="20"/>
      <w:u w:val="thick"/>
      <w:lang w:val="hu-HU" w:eastAsia="ja-JP"/>
    </w:rPr>
  </w:style>
  <w:style w:type="paragraph" w:customStyle="1" w:styleId="fcm">
    <w:name w:val="főcím"/>
    <w:basedOn w:val="Heading1"/>
    <w:rsid w:val="00D95C94"/>
    <w:pPr>
      <w:pageBreakBefore w:val="0"/>
      <w:widowControl w:val="0"/>
      <w:numPr>
        <w:numId w:val="0"/>
      </w:numPr>
      <w:overflowPunct w:val="0"/>
      <w:autoSpaceDE w:val="0"/>
      <w:autoSpaceDN w:val="0"/>
      <w:adjustRightInd w:val="0"/>
      <w:spacing w:before="960" w:after="960" w:line="240" w:lineRule="auto"/>
      <w:textAlignment w:val="baseline"/>
    </w:pPr>
    <w:rPr>
      <w:rFonts w:ascii="Garamond" w:hAnsi="Garamond"/>
      <w:kern w:val="28"/>
      <w:sz w:val="32"/>
      <w:u w:val="none"/>
      <w:lang w:eastAsia="hu-HU"/>
    </w:rPr>
  </w:style>
  <w:style w:type="character" w:styleId="FollowedHyperlink">
    <w:name w:val="FollowedHyperlink"/>
    <w:rsid w:val="00D95C94"/>
    <w:rPr>
      <w:color w:val="800080"/>
      <w:u w:val="single"/>
    </w:rPr>
  </w:style>
  <w:style w:type="paragraph" w:styleId="Footer">
    <w:name w:val="footer"/>
    <w:basedOn w:val="Normal"/>
    <w:link w:val="FooterChar"/>
    <w:rsid w:val="00D95C94"/>
    <w:pPr>
      <w:tabs>
        <w:tab w:val="center" w:pos="4536"/>
        <w:tab w:val="right" w:pos="9072"/>
      </w:tabs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rsid w:val="00D95C94"/>
    <w:rPr>
      <w:rFonts w:ascii="Calibri" w:eastAsia="Calibri" w:hAnsi="Calibri" w:cs="Times New Roman"/>
      <w:sz w:val="22"/>
      <w:szCs w:val="22"/>
      <w:lang w:val="hu-HU" w:eastAsia="ja-JP"/>
    </w:rPr>
  </w:style>
  <w:style w:type="character" w:styleId="FootnoteReference">
    <w:name w:val="footnote reference"/>
    <w:semiHidden/>
    <w:rsid w:val="00D95C94"/>
    <w:rPr>
      <w:vertAlign w:val="superscript"/>
    </w:rPr>
  </w:style>
  <w:style w:type="paragraph" w:styleId="FootnoteText">
    <w:name w:val="footnote text"/>
    <w:basedOn w:val="Normal"/>
    <w:link w:val="FootnoteTextChar"/>
    <w:autoRedefine/>
    <w:semiHidden/>
    <w:rsid w:val="00D95C94"/>
    <w:rPr>
      <w:sz w:val="20"/>
      <w:szCs w:val="20"/>
      <w:lang w:eastAsia="hu-HU"/>
    </w:rPr>
  </w:style>
  <w:style w:type="character" w:customStyle="1" w:styleId="FootnoteTextChar">
    <w:name w:val="Footnote Text Char"/>
    <w:link w:val="FootnoteText"/>
    <w:semiHidden/>
    <w:rsid w:val="00D95C94"/>
    <w:rPr>
      <w:rFonts w:ascii="Arial Narrow" w:eastAsia="Times New Roman" w:hAnsi="Arial Narrow" w:cs="Times New Roman"/>
      <w:sz w:val="20"/>
      <w:szCs w:val="20"/>
      <w:lang w:val="hu-HU" w:eastAsia="hu-HU"/>
    </w:rPr>
  </w:style>
  <w:style w:type="paragraph" w:customStyle="1" w:styleId="FootnoteTextA">
    <w:name w:val="Footnote Text A"/>
    <w:rsid w:val="00D95C94"/>
    <w:pPr>
      <w:tabs>
        <w:tab w:val="left" w:pos="567"/>
      </w:tabs>
      <w:spacing w:before="120" w:line="360" w:lineRule="auto"/>
      <w:jc w:val="both"/>
    </w:pPr>
    <w:rPr>
      <w:rFonts w:ascii="Arial Narrow" w:eastAsia="ヒラギノ角ゴ Pro W3" w:hAnsi="Arial Narrow" w:cs="Times New Roman"/>
      <w:color w:val="000000"/>
      <w:szCs w:val="20"/>
    </w:rPr>
  </w:style>
  <w:style w:type="character" w:customStyle="1" w:styleId="goohl1">
    <w:name w:val="goohl1"/>
    <w:basedOn w:val="DefaultParagraphFont"/>
    <w:rsid w:val="00D95C94"/>
  </w:style>
  <w:style w:type="paragraph" w:customStyle="1" w:styleId="h">
    <w:name w:val="h"/>
    <w:basedOn w:val="Normal"/>
    <w:rsid w:val="00D95C94"/>
    <w:pPr>
      <w:tabs>
        <w:tab w:val="num" w:pos="1057"/>
      </w:tabs>
      <w:autoSpaceDE w:val="0"/>
      <w:autoSpaceDN w:val="0"/>
      <w:adjustRightInd w:val="0"/>
      <w:ind w:left="731" w:hanging="34"/>
    </w:pPr>
    <w:rPr>
      <w:szCs w:val="20"/>
      <w:lang w:eastAsia="hu-HU"/>
    </w:rPr>
  </w:style>
  <w:style w:type="paragraph" w:styleId="Header">
    <w:name w:val="header"/>
    <w:basedOn w:val="Normal"/>
    <w:link w:val="HeaderChar"/>
    <w:rsid w:val="00D95C94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character" w:customStyle="1" w:styleId="HeaderChar">
    <w:name w:val="Header Char"/>
    <w:link w:val="Header"/>
    <w:rsid w:val="00D95C94"/>
    <w:rPr>
      <w:rFonts w:ascii="Arial Narrow" w:eastAsia="Times New Roman" w:hAnsi="Arial Narrow" w:cs="Times New Roman"/>
      <w:sz w:val="18"/>
      <w:lang w:val="hu-HU" w:eastAsia="ja-JP"/>
    </w:rPr>
  </w:style>
  <w:style w:type="character" w:customStyle="1" w:styleId="Heading2Char">
    <w:name w:val="Heading 2 Char"/>
    <w:link w:val="Heading2"/>
    <w:rsid w:val="00D95C94"/>
    <w:rPr>
      <w:rFonts w:ascii="Arial Narrow" w:eastAsia="Times New Roman" w:hAnsi="Arial Narrow" w:cs="Times New Roman"/>
      <w:b/>
      <w:i/>
      <w:sz w:val="22"/>
      <w:u w:val="single"/>
      <w:lang w:val="hu-HU" w:eastAsia="ja-JP"/>
    </w:rPr>
  </w:style>
  <w:style w:type="character" w:customStyle="1" w:styleId="Heading3Char">
    <w:name w:val="Heading 3 Char"/>
    <w:link w:val="Heading3"/>
    <w:rsid w:val="00D95C94"/>
    <w:rPr>
      <w:rFonts w:ascii="Arial Narrow" w:eastAsia="Times New Roman" w:hAnsi="Arial Narrow" w:cs="Times New Roman"/>
      <w:i/>
      <w:sz w:val="22"/>
      <w:szCs w:val="20"/>
      <w:u w:val="single"/>
      <w:lang w:val="hu-HU" w:eastAsia="ja-JP"/>
    </w:rPr>
  </w:style>
  <w:style w:type="character" w:customStyle="1" w:styleId="Heading4Char">
    <w:name w:val="Heading 4 Char"/>
    <w:link w:val="Heading4"/>
    <w:rsid w:val="00D95C94"/>
    <w:rPr>
      <w:rFonts w:ascii="Arial Narrow" w:eastAsia="Times New Roman" w:hAnsi="Arial Narrow" w:cs="Times New Roman"/>
      <w:b/>
      <w:i/>
      <w:sz w:val="22"/>
      <w:szCs w:val="20"/>
      <w:lang w:val="hu-HU" w:eastAsia="ja-JP"/>
    </w:rPr>
  </w:style>
  <w:style w:type="character" w:customStyle="1" w:styleId="Heading5Char">
    <w:name w:val="Heading 5 Char"/>
    <w:link w:val="Heading5"/>
    <w:rsid w:val="00D95C94"/>
    <w:rPr>
      <w:rFonts w:ascii="Arial Narrow" w:eastAsia="Times New Roman" w:hAnsi="Arial Narrow" w:cs="Times New Roman"/>
      <w:i/>
      <w:sz w:val="22"/>
      <w:szCs w:val="20"/>
      <w:lang w:val="hu-HU" w:eastAsia="ja-JP"/>
    </w:rPr>
  </w:style>
  <w:style w:type="character" w:customStyle="1" w:styleId="Heading6Char">
    <w:name w:val="Heading 6 Char"/>
    <w:link w:val="Heading6"/>
    <w:rsid w:val="00D95C94"/>
    <w:rPr>
      <w:rFonts w:ascii="Arial Narrow" w:eastAsia="Times New Roman" w:hAnsi="Arial Narrow" w:cs="Times New Roman"/>
      <w:b/>
      <w:sz w:val="22"/>
      <w:szCs w:val="20"/>
      <w:u w:val="single"/>
      <w:lang w:val="hu-HU" w:eastAsia="ja-JP"/>
    </w:rPr>
  </w:style>
  <w:style w:type="character" w:customStyle="1" w:styleId="Heading7Char">
    <w:name w:val="Heading 7 Char"/>
    <w:link w:val="Heading7"/>
    <w:rsid w:val="00D95C94"/>
    <w:rPr>
      <w:rFonts w:ascii="Arial Narrow" w:eastAsia="Times New Roman" w:hAnsi="Arial Narrow" w:cs="Times New Roman"/>
      <w:b/>
      <w:i/>
      <w:iCs/>
      <w:sz w:val="22"/>
      <w:lang w:val="hu-HU" w:eastAsia="ja-JP"/>
    </w:rPr>
  </w:style>
  <w:style w:type="character" w:customStyle="1" w:styleId="Heading8Char">
    <w:name w:val="Heading 8 Char"/>
    <w:link w:val="Heading8"/>
    <w:rsid w:val="00D95C94"/>
    <w:rPr>
      <w:rFonts w:ascii="Arial Narrow" w:eastAsia="Times New Roman" w:hAnsi="Arial Narrow" w:cs="Times New Roman"/>
      <w:b/>
      <w:bCs/>
      <w:sz w:val="22"/>
      <w:lang w:val="hu-HU" w:eastAsia="ja-JP"/>
    </w:rPr>
  </w:style>
  <w:style w:type="character" w:customStyle="1" w:styleId="Heading9Char">
    <w:name w:val="Heading 9 Char"/>
    <w:link w:val="Heading9"/>
    <w:rsid w:val="00D95C94"/>
    <w:rPr>
      <w:rFonts w:ascii="Arial Narrow" w:eastAsia="Times New Roman" w:hAnsi="Arial Narrow" w:cs="Times New Roman"/>
      <w:i/>
      <w:sz w:val="18"/>
      <w:szCs w:val="20"/>
      <w:lang w:val="hu-HU" w:eastAsia="ja-JP"/>
    </w:rPr>
  </w:style>
  <w:style w:type="paragraph" w:styleId="HTMLPreformatted">
    <w:name w:val="HTML Preformatted"/>
    <w:basedOn w:val="Normal"/>
    <w:link w:val="HTMLPreformattedChar"/>
    <w:rsid w:val="00D95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D95C94"/>
    <w:rPr>
      <w:rFonts w:ascii="Arial Unicode MS" w:eastAsia="Arial Unicode MS" w:hAnsi="Arial Unicode MS" w:cs="Arial Unicode MS"/>
      <w:sz w:val="20"/>
      <w:szCs w:val="20"/>
      <w:lang w:val="hu-HU" w:eastAsia="ja-JP"/>
    </w:rPr>
  </w:style>
  <w:style w:type="character" w:styleId="Hyperlink">
    <w:name w:val="Hyperlink"/>
    <w:rsid w:val="00D95C94"/>
    <w:rPr>
      <w:rFonts w:ascii="Arial Narrow" w:hAnsi="Arial Narrow"/>
      <w:b/>
      <w:dstrike w:val="0"/>
      <w:color w:val="0000FF"/>
      <w:sz w:val="22"/>
      <w:u w:val="single"/>
      <w:vertAlign w:val="baseline"/>
    </w:rPr>
  </w:style>
  <w:style w:type="paragraph" w:customStyle="1" w:styleId="interjidzet">
    <w:name w:val="interjúidézet"/>
    <w:basedOn w:val="Normal"/>
    <w:rsid w:val="00D95C94"/>
    <w:pPr>
      <w:overflowPunct w:val="0"/>
      <w:autoSpaceDE w:val="0"/>
      <w:autoSpaceDN w:val="0"/>
      <w:adjustRightInd w:val="0"/>
      <w:spacing w:after="120"/>
      <w:textAlignment w:val="baseline"/>
    </w:pPr>
    <w:rPr>
      <w:i/>
      <w:sz w:val="20"/>
      <w:szCs w:val="20"/>
    </w:rPr>
  </w:style>
  <w:style w:type="character" w:customStyle="1" w:styleId="kekszoveg1">
    <w:name w:val="kek_szoveg1"/>
    <w:rsid w:val="00D95C94"/>
    <w:rPr>
      <w:rFonts w:ascii="Verdana" w:hAnsi="Verdana" w:hint="default"/>
      <w:b w:val="0"/>
      <w:bCs w:val="0"/>
      <w:strike w:val="0"/>
      <w:dstrike w:val="0"/>
      <w:color w:val="6291B3"/>
      <w:sz w:val="18"/>
      <w:szCs w:val="18"/>
      <w:u w:val="none"/>
      <w:effect w:val="none"/>
    </w:rPr>
  </w:style>
  <w:style w:type="paragraph" w:customStyle="1" w:styleId="krds">
    <w:name w:val="kérdés"/>
    <w:rsid w:val="00D95C94"/>
    <w:rPr>
      <w:rFonts w:ascii="Times New Roman" w:eastAsia="Times New Roman" w:hAnsi="Times New Roman" w:cs="Times New Roman"/>
      <w:b/>
      <w:szCs w:val="20"/>
      <w:lang w:val="hu-HU" w:eastAsia="hu-HU"/>
    </w:rPr>
  </w:style>
  <w:style w:type="paragraph" w:customStyle="1" w:styleId="kerdesek">
    <w:name w:val="kerdesek"/>
    <w:basedOn w:val="Normal"/>
    <w:qFormat/>
    <w:rsid w:val="00D95C94"/>
    <w:pPr>
      <w:keepNext/>
      <w:keepLines/>
      <w:numPr>
        <w:numId w:val="6"/>
      </w:numPr>
    </w:pPr>
    <w:rPr>
      <w:b/>
      <w:i/>
      <w:szCs w:val="22"/>
    </w:rPr>
  </w:style>
  <w:style w:type="character" w:customStyle="1" w:styleId="Lbjegyzet-karakterek">
    <w:name w:val="Lábjegyzet-karakterek"/>
    <w:rsid w:val="00D95C94"/>
    <w:rPr>
      <w:vertAlign w:val="superscript"/>
    </w:rPr>
  </w:style>
  <w:style w:type="character" w:customStyle="1" w:styleId="lead1">
    <w:name w:val="lead1"/>
    <w:rsid w:val="00D95C94"/>
    <w:rPr>
      <w:rFonts w:ascii="Verdana" w:hAnsi="Verdana" w:hint="default"/>
      <w:b/>
      <w:bCs/>
      <w:i w:val="0"/>
      <w:iCs w:val="0"/>
      <w:strike w:val="0"/>
      <w:dstrike w:val="0"/>
      <w:color w:val="FF7129"/>
      <w:sz w:val="18"/>
      <w:szCs w:val="18"/>
      <w:u w:val="none"/>
      <w:effect w:val="none"/>
    </w:rPr>
  </w:style>
  <w:style w:type="paragraph" w:styleId="ListBullet">
    <w:name w:val="List Bullet"/>
    <w:basedOn w:val="Normal"/>
    <w:next w:val="Normal"/>
    <w:autoRedefine/>
    <w:rsid w:val="00D95C94"/>
    <w:pPr>
      <w:spacing w:after="120"/>
      <w:ind w:right="252"/>
    </w:pPr>
    <w:rPr>
      <w:lang w:eastAsia="hu-HU"/>
    </w:rPr>
  </w:style>
  <w:style w:type="paragraph" w:styleId="ListParagraph">
    <w:name w:val="List Paragraph"/>
    <w:basedOn w:val="Normal"/>
    <w:uiPriority w:val="34"/>
    <w:qFormat/>
    <w:rsid w:val="00D95C94"/>
    <w:pPr>
      <w:ind w:left="720"/>
      <w:contextualSpacing/>
    </w:pPr>
  </w:style>
  <w:style w:type="paragraph" w:styleId="MessageHeader">
    <w:name w:val="Message Header"/>
    <w:basedOn w:val="Normal"/>
    <w:link w:val="MessageHeaderChar"/>
    <w:rsid w:val="00D95C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D95C94"/>
    <w:rPr>
      <w:rFonts w:ascii="Arial" w:eastAsia="Times New Roman" w:hAnsi="Arial" w:cs="Times New Roman"/>
      <w:sz w:val="22"/>
      <w:shd w:val="pct20" w:color="auto" w:fill="auto"/>
      <w:lang w:val="hu-HU" w:eastAsia="ja-JP"/>
    </w:rPr>
  </w:style>
  <w:style w:type="paragraph" w:styleId="NormalWeb">
    <w:name w:val="Normal (Web)"/>
    <w:basedOn w:val="Normal"/>
    <w:rsid w:val="00D95C94"/>
    <w:pPr>
      <w:spacing w:before="100" w:beforeAutospacing="1" w:after="100" w:afterAutospacing="1"/>
    </w:pPr>
    <w:rPr>
      <w:color w:val="000000"/>
      <w:lang w:val="en-GB"/>
    </w:rPr>
  </w:style>
  <w:style w:type="paragraph" w:customStyle="1" w:styleId="Norml1">
    <w:name w:val="Normál1"/>
    <w:rsid w:val="00D95C94"/>
    <w:pPr>
      <w:tabs>
        <w:tab w:val="left" w:pos="567"/>
      </w:tabs>
      <w:spacing w:before="120" w:line="360" w:lineRule="auto"/>
      <w:jc w:val="both"/>
    </w:pPr>
    <w:rPr>
      <w:rFonts w:ascii="Arial Narrow" w:eastAsia="ヒラギノ角ゴ Pro W3" w:hAnsi="Arial Narrow" w:cs="Times New Roman"/>
      <w:color w:val="000000"/>
      <w:sz w:val="22"/>
      <w:szCs w:val="20"/>
      <w:lang w:val="hu-HU" w:eastAsia="hu-HU"/>
    </w:rPr>
  </w:style>
  <w:style w:type="paragraph" w:customStyle="1" w:styleId="NoteLevel21">
    <w:name w:val="Note Level 21"/>
    <w:basedOn w:val="Normal"/>
    <w:qFormat/>
    <w:rsid w:val="00D95C94"/>
    <w:pPr>
      <w:keepNext/>
      <w:outlineLvl w:val="1"/>
    </w:pPr>
    <w:rPr>
      <w:rFonts w:eastAsia="MS Gothic"/>
    </w:rPr>
  </w:style>
  <w:style w:type="paragraph" w:customStyle="1" w:styleId="NoteLevel31">
    <w:name w:val="Note Level 31"/>
    <w:basedOn w:val="Normal"/>
    <w:rsid w:val="00D95C94"/>
    <w:pPr>
      <w:keepNext/>
      <w:outlineLvl w:val="2"/>
    </w:pPr>
    <w:rPr>
      <w:rFonts w:eastAsia="MS Gothic"/>
    </w:rPr>
  </w:style>
  <w:style w:type="paragraph" w:customStyle="1" w:styleId="NoteLevel41">
    <w:name w:val="Note Level 41"/>
    <w:basedOn w:val="Normal"/>
    <w:rsid w:val="00D95C94"/>
    <w:pPr>
      <w:keepNext/>
      <w:outlineLvl w:val="3"/>
    </w:pPr>
    <w:rPr>
      <w:rFonts w:eastAsia="MS Gothic"/>
    </w:rPr>
  </w:style>
  <w:style w:type="paragraph" w:customStyle="1" w:styleId="NoteLevel51">
    <w:name w:val="Note Level 51"/>
    <w:basedOn w:val="Normal"/>
    <w:rsid w:val="00D95C94"/>
    <w:pPr>
      <w:keepNext/>
      <w:outlineLvl w:val="4"/>
    </w:pPr>
    <w:rPr>
      <w:rFonts w:eastAsia="MS Gothic"/>
    </w:rPr>
  </w:style>
  <w:style w:type="paragraph" w:customStyle="1" w:styleId="NoteLevel61">
    <w:name w:val="Note Level 61"/>
    <w:basedOn w:val="Normal"/>
    <w:rsid w:val="00D95C94"/>
    <w:pPr>
      <w:keepNext/>
      <w:outlineLvl w:val="5"/>
    </w:pPr>
    <w:rPr>
      <w:rFonts w:eastAsia="MS Gothic"/>
    </w:rPr>
  </w:style>
  <w:style w:type="character" w:styleId="PageNumber">
    <w:name w:val="page number"/>
    <w:basedOn w:val="DefaultParagraphFont"/>
    <w:rsid w:val="00D95C94"/>
  </w:style>
  <w:style w:type="paragraph" w:styleId="PlainText">
    <w:name w:val="Plain Text"/>
    <w:basedOn w:val="Normal"/>
    <w:link w:val="PlainTextChar"/>
    <w:rsid w:val="00D95C9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lainTextChar">
    <w:name w:val="Plain Text Char"/>
    <w:link w:val="PlainText"/>
    <w:rsid w:val="00D95C94"/>
    <w:rPr>
      <w:rFonts w:ascii="Arial Narrow" w:eastAsia="Times New Roman" w:hAnsi="Arial Narrow" w:cs="Times New Roman"/>
      <w:sz w:val="22"/>
      <w:szCs w:val="20"/>
      <w:lang w:val="hu-HU" w:eastAsia="ja-JP"/>
    </w:rPr>
  </w:style>
  <w:style w:type="paragraph" w:styleId="Revision">
    <w:name w:val="Revision"/>
    <w:rsid w:val="00D95C94"/>
    <w:rPr>
      <w:rFonts w:ascii="Arial Narrow" w:eastAsia="Times New Roman" w:hAnsi="Arial Narrow" w:cs="Times New Roman"/>
      <w:sz w:val="22"/>
      <w:szCs w:val="20"/>
      <w:lang w:val="hu-HU" w:eastAsia="hu-HU"/>
    </w:rPr>
  </w:style>
  <w:style w:type="paragraph" w:customStyle="1" w:styleId="StlusCmsor1Eltte6pt">
    <w:name w:val="Stílus Címsor 1 + Előtte:  6 pt"/>
    <w:basedOn w:val="Heading1"/>
    <w:autoRedefine/>
    <w:rsid w:val="00D95C94"/>
    <w:pPr>
      <w:pageBreakBefore w:val="0"/>
      <w:numPr>
        <w:numId w:val="0"/>
      </w:numPr>
    </w:pPr>
    <w:rPr>
      <w:bCs/>
      <w:caps/>
      <w:sz w:val="24"/>
    </w:rPr>
  </w:style>
  <w:style w:type="paragraph" w:customStyle="1" w:styleId="StlusCmsor2Elssor125cm">
    <w:name w:val="Stílus Címsor 2 + Első sor:  125 cm"/>
    <w:basedOn w:val="Heading2"/>
    <w:rsid w:val="00D95C94"/>
    <w:pPr>
      <w:numPr>
        <w:ilvl w:val="0"/>
        <w:numId w:val="0"/>
      </w:numPr>
      <w:tabs>
        <w:tab w:val="clear" w:pos="567"/>
      </w:tabs>
      <w:spacing w:before="360" w:after="240" w:line="240" w:lineRule="auto"/>
      <w:ind w:firstLine="709"/>
      <w:jc w:val="left"/>
    </w:pPr>
    <w:rPr>
      <w:rFonts w:ascii="Book Antiqua" w:hAnsi="Book Antiqua"/>
      <w:bCs/>
      <w:i w:val="0"/>
      <w:iCs/>
      <w:szCs w:val="20"/>
      <w:u w:val="none"/>
      <w:lang w:eastAsia="hu-HU"/>
    </w:rPr>
  </w:style>
  <w:style w:type="paragraph" w:customStyle="1" w:styleId="tblzatsorszma">
    <w:name w:val="táblázat sorszáma"/>
    <w:basedOn w:val="Normal"/>
    <w:next w:val="Normal"/>
    <w:autoRedefine/>
    <w:qFormat/>
    <w:rsid w:val="00D95C94"/>
    <w:pPr>
      <w:keepNext/>
      <w:keepLines/>
      <w:numPr>
        <w:numId w:val="9"/>
      </w:numPr>
      <w:tabs>
        <w:tab w:val="clear" w:pos="567"/>
      </w:tabs>
      <w:spacing w:line="240" w:lineRule="auto"/>
      <w:jc w:val="center"/>
    </w:pPr>
    <w:rPr>
      <w:b/>
      <w:iCs/>
      <w:szCs w:val="20"/>
      <w:lang w:eastAsia="hu-HU"/>
    </w:rPr>
  </w:style>
  <w:style w:type="table" w:styleId="Table3Deffects1">
    <w:name w:val="Table 3D effects 1"/>
    <w:basedOn w:val="TableNormal"/>
    <w:rsid w:val="00D95C94"/>
    <w:pPr>
      <w:tabs>
        <w:tab w:val="left" w:pos="567"/>
      </w:tabs>
      <w:spacing w:before="120" w:line="360" w:lineRule="auto"/>
      <w:jc w:val="both"/>
    </w:pPr>
    <w:rPr>
      <w:rFonts w:ascii="Arial Narrow" w:eastAsia="Times New Roman" w:hAnsi="Arial Narrow" w:cs="Times New Roman"/>
      <w:sz w:val="20"/>
      <w:szCs w:val="20"/>
      <w:lang w:eastAsia="hu-H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95C94"/>
    <w:pPr>
      <w:tabs>
        <w:tab w:val="left" w:pos="567"/>
      </w:tabs>
      <w:spacing w:before="120" w:line="360" w:lineRule="auto"/>
      <w:jc w:val="both"/>
    </w:pPr>
    <w:rPr>
      <w:rFonts w:ascii="Arial Narrow" w:eastAsia="Times New Roman" w:hAnsi="Arial Narrow" w:cs="Times New Roman"/>
      <w:sz w:val="20"/>
      <w:szCs w:val="20"/>
      <w:lang w:eastAsia="hu-H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95C94"/>
    <w:pPr>
      <w:tabs>
        <w:tab w:val="left" w:pos="567"/>
      </w:tabs>
      <w:spacing w:before="120" w:line="360" w:lineRule="auto"/>
      <w:jc w:val="both"/>
    </w:pPr>
    <w:rPr>
      <w:rFonts w:ascii="Arial Narrow" w:eastAsia="Times New Roman" w:hAnsi="Arial Narrow" w:cs="Times New Roman"/>
      <w:sz w:val="20"/>
      <w:szCs w:val="20"/>
      <w:lang w:eastAsia="hu-H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95C94"/>
    <w:pPr>
      <w:tabs>
        <w:tab w:val="left" w:pos="567"/>
      </w:tabs>
      <w:spacing w:before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95C94"/>
    <w:pPr>
      <w:tabs>
        <w:tab w:val="left" w:pos="567"/>
      </w:tabs>
      <w:spacing w:before="120" w:line="360" w:lineRule="auto"/>
      <w:jc w:val="both"/>
    </w:pPr>
    <w:rPr>
      <w:rFonts w:ascii="Arial Narrow" w:eastAsia="Times New Roman" w:hAnsi="Arial Narrow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rsid w:val="00D95C94"/>
    <w:pPr>
      <w:tabs>
        <w:tab w:val="left" w:pos="567"/>
      </w:tabs>
      <w:spacing w:before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95C94"/>
    <w:pPr>
      <w:spacing w:after="120"/>
      <w:jc w:val="center"/>
    </w:pPr>
    <w:rPr>
      <w:b/>
      <w:bCs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ink w:val="Title"/>
    <w:rsid w:val="00D95C94"/>
    <w:rPr>
      <w:rFonts w:ascii="Arial Narrow" w:eastAsia="Times New Roman" w:hAnsi="Arial Narrow" w:cs="Times New Roman"/>
      <w:b/>
      <w:bCs/>
      <w:sz w:val="48"/>
      <w:lang w:val="hu-HU"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1">
    <w:name w:val="toc 1"/>
    <w:basedOn w:val="Normal"/>
    <w:next w:val="Normal"/>
    <w:autoRedefine/>
    <w:semiHidden/>
    <w:rsid w:val="00D95C94"/>
    <w:pPr>
      <w:tabs>
        <w:tab w:val="clear" w:pos="567"/>
      </w:tabs>
      <w:spacing w:after="120"/>
      <w:jc w:val="left"/>
    </w:pPr>
    <w:rPr>
      <w:rFonts w:ascii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autoRedefine/>
    <w:qFormat/>
    <w:rsid w:val="00D95C94"/>
    <w:pPr>
      <w:tabs>
        <w:tab w:val="clear" w:pos="567"/>
      </w:tabs>
      <w:spacing w:before="0"/>
      <w:ind w:left="220"/>
      <w:jc w:val="left"/>
    </w:pPr>
    <w:rPr>
      <w:rFonts w:ascii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D95C94"/>
    <w:pPr>
      <w:tabs>
        <w:tab w:val="clear" w:pos="567"/>
      </w:tabs>
      <w:spacing w:before="0"/>
      <w:ind w:left="440"/>
      <w:jc w:val="left"/>
    </w:pPr>
    <w:rPr>
      <w:rFonts w:ascii="Times New Roman" w:hAnsi="Times New Roman"/>
      <w:i/>
      <w:sz w:val="20"/>
      <w:szCs w:val="20"/>
    </w:rPr>
  </w:style>
  <w:style w:type="paragraph" w:styleId="TOC4">
    <w:name w:val="toc 4"/>
    <w:basedOn w:val="Normal"/>
    <w:next w:val="Normal"/>
    <w:autoRedefine/>
    <w:rsid w:val="00D95C94"/>
    <w:pPr>
      <w:tabs>
        <w:tab w:val="clear" w:pos="567"/>
      </w:tabs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rsid w:val="00D95C94"/>
    <w:pPr>
      <w:tabs>
        <w:tab w:val="clear" w:pos="567"/>
      </w:tabs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rsid w:val="00D95C94"/>
    <w:pPr>
      <w:tabs>
        <w:tab w:val="clear" w:pos="567"/>
      </w:tabs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rsid w:val="00D95C94"/>
    <w:pPr>
      <w:tabs>
        <w:tab w:val="clear" w:pos="567"/>
      </w:tabs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rsid w:val="00D95C94"/>
    <w:pPr>
      <w:tabs>
        <w:tab w:val="clear" w:pos="567"/>
      </w:tabs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rsid w:val="00D95C94"/>
    <w:pPr>
      <w:tabs>
        <w:tab w:val="clear" w:pos="567"/>
      </w:tabs>
      <w:spacing w:before="0"/>
      <w:ind w:left="1760"/>
      <w:jc w:val="lef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image" Target="media/image1.jp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SSD:Users:gyorgyfabri:U:AKTUA&#769;LIS:7evangelikus:nepszamlalas_nepmozgalom_elemzesek:gazdalkodas_szja_adatok:beszamolo_adatok_fabri_2017_telje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SSD:Users:gyorgyfabri:U:AKTUA&#769;LIS:7evangelikus:nepszamlalas_nepmozgalom_elemzesek:gazdalkodas_szja_adatok:beszamolo_adatok_fabri_2017_telje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SSD:Users:gyorgyfabri:U:AKTU&#193;LIS:7evangelikus:nepszamlalas_nepmozgalom_elemzesek:nepmozgalom:gyulekezet_rovid_egyhazmegyek_2000_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SSD:Users:gyorgyfabri:U:AKTU&#193;LIS:7evangelikus:nepszamlalas_nepmozgalom_elemzesek:nepmozgalom:gyulekezet_rovid_egyhazmegyek_2000_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SSD:Users:gyorgyfabri:U:AKTU&#193;LIS:7evangelikus:nepszamlalas_nepmozgalom_elemzesek:nepmozgalom:gyulekezet_rovid_egyhazmegyek_2000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Működési kiadások (2,3Mrd Ft) megoszlásának főbb kategóriái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Sheet1!$L$2:$L$6</c:f>
              <c:strCache>
                <c:ptCount val="5"/>
                <c:pt idx="0">
                  <c:v>személyi jellegű + adók, járulákok</c:v>
                </c:pt>
                <c:pt idx="1">
                  <c:v>működési költségek (rezsi stb..)</c:v>
                </c:pt>
                <c:pt idx="2">
                  <c:v>gépjármű használat, vásárlás</c:v>
                </c:pt>
                <c:pt idx="3">
                  <c:v>hitéleti tevékenységek (alkalmak, eszközök stb.)</c:v>
                </c:pt>
                <c:pt idx="4">
                  <c:v>ingatlanok karbantartása, javítása</c:v>
                </c:pt>
              </c:strCache>
            </c:strRef>
          </c:cat>
          <c:val>
            <c:numRef>
              <c:f>Sheet1!$M$2:$M$6</c:f>
              <c:numCache>
                <c:formatCode>#\ ##0;\-#\ ##0</c:formatCode>
                <c:ptCount val="5"/>
                <c:pt idx="0">
                  <c:v>1.182053278E9</c:v>
                </c:pt>
                <c:pt idx="1">
                  <c:v>6.29320991E8</c:v>
                </c:pt>
                <c:pt idx="2">
                  <c:v>1.19386423E8</c:v>
                </c:pt>
                <c:pt idx="3">
                  <c:v>2.26482853E8</c:v>
                </c:pt>
                <c:pt idx="4">
                  <c:v>1.33304907E8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>
          <a:latin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Gyülekezeti működési bevételek – 1,6Mrd Ft</a:t>
            </a:r>
          </a:p>
          <a:p>
            <a:pPr>
              <a:defRPr sz="1050"/>
            </a:pPr>
            <a:r>
              <a:rPr lang="en-US" sz="1050"/>
              <a:t>(magánszemélyek, szervezetek, ingatlanhasznosítás)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numFmt formatCode="#,##0" sourceLinked="0"/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Sheet1!$C$4:$C$10</c:f>
              <c:strCache>
                <c:ptCount val="7"/>
                <c:pt idx="0">
                  <c:v>Egyházfenntartói járulék</c:v>
                </c:pt>
                <c:pt idx="1">
                  <c:v>Ingatlan hasznosítás</c:v>
                </c:pt>
                <c:pt idx="2">
                  <c:v>Perselypénz</c:v>
                </c:pt>
                <c:pt idx="3">
                  <c:v>Adomány magánszemélyektől</c:v>
                </c:pt>
                <c:pt idx="4">
                  <c:v>Pénzügyi műveletek bevételei </c:v>
                </c:pt>
                <c:pt idx="5">
                  <c:v>Adomány szervezetektől</c:v>
                </c:pt>
                <c:pt idx="6">
                  <c:v>Stóla</c:v>
                </c:pt>
              </c:strCache>
            </c:strRef>
          </c:cat>
          <c:val>
            <c:numRef>
              <c:f>Sheet1!$D$4:$D$10</c:f>
              <c:numCache>
                <c:formatCode>#\ ##0;\-#\ ##0</c:formatCode>
                <c:ptCount val="7"/>
                <c:pt idx="0">
                  <c:v>4.89221127E8</c:v>
                </c:pt>
                <c:pt idx="1">
                  <c:v>4.8382863E8</c:v>
                </c:pt>
                <c:pt idx="2">
                  <c:v>2.99964812E8</c:v>
                </c:pt>
                <c:pt idx="3">
                  <c:v>2.39775699E8</c:v>
                </c:pt>
                <c:pt idx="4">
                  <c:v>3.2793269E7</c:v>
                </c:pt>
                <c:pt idx="5">
                  <c:v>3.0491855E7</c:v>
                </c:pt>
                <c:pt idx="6">
                  <c:v>9.12654E6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>
          <a:latin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Egyháztagok és egyházfenntartók aránya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chemeClr val="accent2"/>
              </a:solidFill>
            </a:ln>
          </c:spPr>
          <c:marker>
            <c:spPr>
              <a:solidFill>
                <a:schemeClr val="accent4">
                  <a:lumMod val="75000"/>
                </a:schemeClr>
              </a:solidFill>
            </c:spPr>
          </c:marker>
          <c:dLbls>
            <c:numFmt formatCode="0.0%" sourceLinked="0"/>
            <c:txPr>
              <a:bodyPr/>
              <a:lstStyle/>
              <a:p>
                <a:pPr>
                  <a:defRPr sz="800" b="0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orszagos_osszegzesek!$V$17:$V$34</c:f>
              <c:strCache>
                <c:ptCount val="18"/>
                <c:pt idx="0">
                  <c:v>2000.</c:v>
                </c:pt>
                <c:pt idx="1">
                  <c:v>2001.</c:v>
                </c:pt>
                <c:pt idx="2">
                  <c:v>2002.</c:v>
                </c:pt>
                <c:pt idx="3">
                  <c:v>2003.</c:v>
                </c:pt>
                <c:pt idx="4">
                  <c:v>2004.</c:v>
                </c:pt>
                <c:pt idx="5">
                  <c:v>2005.</c:v>
                </c:pt>
                <c:pt idx="6">
                  <c:v>2006.</c:v>
                </c:pt>
                <c:pt idx="7">
                  <c:v>2007.</c:v>
                </c:pt>
                <c:pt idx="8">
                  <c:v>2008.</c:v>
                </c:pt>
                <c:pt idx="9">
                  <c:v>2009.</c:v>
                </c:pt>
                <c:pt idx="10">
                  <c:v>2010.</c:v>
                </c:pt>
                <c:pt idx="11">
                  <c:v>2011.</c:v>
                </c:pt>
                <c:pt idx="12">
                  <c:v>2012.</c:v>
                </c:pt>
                <c:pt idx="13">
                  <c:v>2013.</c:v>
                </c:pt>
                <c:pt idx="14">
                  <c:v>2014.</c:v>
                </c:pt>
                <c:pt idx="15">
                  <c:v>2015.</c:v>
                </c:pt>
                <c:pt idx="16">
                  <c:v>2016.</c:v>
                </c:pt>
                <c:pt idx="17">
                  <c:v>2017.</c:v>
                </c:pt>
              </c:strCache>
            </c:strRef>
          </c:cat>
          <c:val>
            <c:numRef>
              <c:f>orszagos_osszegzesek!$W$17:$W$34</c:f>
              <c:numCache>
                <c:formatCode>#,#00%</c:formatCode>
                <c:ptCount val="18"/>
                <c:pt idx="0">
                  <c:v>0.541419212929757</c:v>
                </c:pt>
                <c:pt idx="1">
                  <c:v>0.560407771879168</c:v>
                </c:pt>
                <c:pt idx="2">
                  <c:v>0.527384019180198</c:v>
                </c:pt>
                <c:pt idx="3">
                  <c:v>0.519294257979985</c:v>
                </c:pt>
                <c:pt idx="4">
                  <c:v>0.515160486864984</c:v>
                </c:pt>
                <c:pt idx="5">
                  <c:v>0.519438753274858</c:v>
                </c:pt>
                <c:pt idx="6">
                  <c:v>0.483207523966245</c:v>
                </c:pt>
                <c:pt idx="7">
                  <c:v>0.491721237289038</c:v>
                </c:pt>
                <c:pt idx="8">
                  <c:v>0.519025016159687</c:v>
                </c:pt>
                <c:pt idx="9">
                  <c:v>0.49174254069607</c:v>
                </c:pt>
                <c:pt idx="10">
                  <c:v>0.485769674971127</c:v>
                </c:pt>
                <c:pt idx="11">
                  <c:v>0.458282635608665</c:v>
                </c:pt>
                <c:pt idx="12">
                  <c:v>0.467801096615617</c:v>
                </c:pt>
                <c:pt idx="13">
                  <c:v>0.482101860721491</c:v>
                </c:pt>
                <c:pt idx="14">
                  <c:v>0.467122460186711</c:v>
                </c:pt>
                <c:pt idx="15">
                  <c:v>0.460527942283704</c:v>
                </c:pt>
                <c:pt idx="16">
                  <c:v>0.462456128217984</c:v>
                </c:pt>
                <c:pt idx="17">
                  <c:v>0.457709197576936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2069541304"/>
        <c:axId val="-2069538328"/>
      </c:lineChart>
      <c:catAx>
        <c:axId val="-2069541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-2069538328"/>
        <c:crosses val="autoZero"/>
        <c:auto val="1"/>
        <c:lblAlgn val="ctr"/>
        <c:lblOffset val="100"/>
        <c:noMultiLvlLbl val="0"/>
      </c:catAx>
      <c:valAx>
        <c:axId val="-2069538328"/>
        <c:scaling>
          <c:orientation val="minMax"/>
          <c:min val="0.4"/>
        </c:scaling>
        <c:delete val="0"/>
        <c:axPos val="l"/>
        <c:majorGridlines/>
        <c:numFmt formatCode="#,#0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-2069541304"/>
        <c:crosses val="autoZero"/>
        <c:crossBetween val="between"/>
      </c:valAx>
      <c:spPr>
        <a:ln>
          <a:solidFill>
            <a:schemeClr val="accent2"/>
          </a:solidFill>
        </a:ln>
      </c:spPr>
    </c:plotArea>
    <c:plotVisOnly val="1"/>
    <c:dispBlanksAs val="gap"/>
    <c:showDLblsOverMax val="0"/>
  </c:chart>
  <c:txPr>
    <a:bodyPr/>
    <a:lstStyle/>
    <a:p>
      <a:pPr>
        <a:defRPr>
          <a:latin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Népmozgalmi trendvonalak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485214539963326"/>
          <c:y val="0.0264423076923077"/>
          <c:w val="0.931752518606407"/>
          <c:h val="0.8403136356753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orszagos_osszegzesek!$B$16</c:f>
              <c:strCache>
                <c:ptCount val="1"/>
                <c:pt idx="0">
                  <c:v>Egyházközségi tagok száma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orszagos_osszegzesek!$A$81:$A$92</c:f>
              <c:strCache>
                <c:ptCount val="12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  <c:pt idx="3">
                  <c:v>2016.</c:v>
                </c:pt>
                <c:pt idx="4">
                  <c:v>2017.</c:v>
                </c:pt>
                <c:pt idx="5">
                  <c:v>2018.</c:v>
                </c:pt>
                <c:pt idx="6">
                  <c:v>2019.</c:v>
                </c:pt>
                <c:pt idx="7">
                  <c:v>2020.</c:v>
                </c:pt>
                <c:pt idx="8">
                  <c:v>2021.</c:v>
                </c:pt>
                <c:pt idx="9">
                  <c:v>2022.</c:v>
                </c:pt>
                <c:pt idx="10">
                  <c:v>2023.</c:v>
                </c:pt>
                <c:pt idx="11">
                  <c:v>2024.</c:v>
                </c:pt>
              </c:strCache>
            </c:strRef>
          </c:cat>
          <c:val>
            <c:numRef>
              <c:f>orszagos_osszegzesek!$B$81:$B$92</c:f>
              <c:numCache>
                <c:formatCode>#,##0</c:formatCode>
                <c:ptCount val="12"/>
                <c:pt idx="0">
                  <c:v>186863.0</c:v>
                </c:pt>
                <c:pt idx="1">
                  <c:v>182100.0</c:v>
                </c:pt>
                <c:pt idx="2">
                  <c:v>177974.0</c:v>
                </c:pt>
                <c:pt idx="3">
                  <c:v>173517.0</c:v>
                </c:pt>
                <c:pt idx="4">
                  <c:v>172839.0</c:v>
                </c:pt>
              </c:numCache>
            </c:numRef>
          </c:val>
        </c:ser>
        <c:ser>
          <c:idx val="1"/>
          <c:order val="1"/>
          <c:tx>
            <c:strRef>
              <c:f>orszagos_osszegzesek!$C$16</c:f>
              <c:strCache>
                <c:ptCount val="1"/>
                <c:pt idx="0">
                  <c:v>Választói névjegyzékben szereplők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53975">
                <a:solidFill>
                  <a:srgbClr val="FF0000"/>
                </a:solidFill>
                <a:headEnd type="none"/>
              </a:ln>
            </c:spPr>
            <c:trendlineType val="linear"/>
            <c:dispRSqr val="0"/>
            <c:dispEq val="0"/>
          </c:trendline>
          <c:cat>
            <c:strRef>
              <c:f>orszagos_osszegzesek!$A$81:$A$92</c:f>
              <c:strCache>
                <c:ptCount val="12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  <c:pt idx="3">
                  <c:v>2016.</c:v>
                </c:pt>
                <c:pt idx="4">
                  <c:v>2017.</c:v>
                </c:pt>
                <c:pt idx="5">
                  <c:v>2018.</c:v>
                </c:pt>
                <c:pt idx="6">
                  <c:v>2019.</c:v>
                </c:pt>
                <c:pt idx="7">
                  <c:v>2020.</c:v>
                </c:pt>
                <c:pt idx="8">
                  <c:v>2021.</c:v>
                </c:pt>
                <c:pt idx="9">
                  <c:v>2022.</c:v>
                </c:pt>
                <c:pt idx="10">
                  <c:v>2023.</c:v>
                </c:pt>
                <c:pt idx="11">
                  <c:v>2024.</c:v>
                </c:pt>
              </c:strCache>
            </c:strRef>
          </c:cat>
          <c:val>
            <c:numRef>
              <c:f>orszagos_osszegzesek!$C$81:$C$92</c:f>
              <c:numCache>
                <c:formatCode>#,##0</c:formatCode>
                <c:ptCount val="12"/>
                <c:pt idx="0">
                  <c:v>90087.0</c:v>
                </c:pt>
                <c:pt idx="1">
                  <c:v>85063.0</c:v>
                </c:pt>
                <c:pt idx="2">
                  <c:v>81962.0</c:v>
                </c:pt>
                <c:pt idx="3">
                  <c:v>80244.0</c:v>
                </c:pt>
                <c:pt idx="4">
                  <c:v>79110.0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064461080"/>
        <c:axId val="-2064458248"/>
      </c:barChart>
      <c:catAx>
        <c:axId val="-2064461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064458248"/>
        <c:crosses val="autoZero"/>
        <c:auto val="1"/>
        <c:lblAlgn val="ctr"/>
        <c:lblOffset val="100"/>
        <c:noMultiLvlLbl val="0"/>
      </c:catAx>
      <c:valAx>
        <c:axId val="-2064458248"/>
        <c:scaling>
          <c:orientation val="minMax"/>
          <c:min val="50000.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2064461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Egyházfenntartók potenciális bázisa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orszagos_osszegzesek!$AB$16</c:f>
              <c:strCache>
                <c:ptCount val="1"/>
                <c:pt idx="0">
                  <c:v>Keresztelés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orszagos_osszegzesek!$AA$17:$AA$23</c:f>
              <c:strCache>
                <c:ptCount val="7"/>
                <c:pt idx="0">
                  <c:v>2000.</c:v>
                </c:pt>
                <c:pt idx="1">
                  <c:v>2010.</c:v>
                </c:pt>
                <c:pt idx="2">
                  <c:v>2013.</c:v>
                </c:pt>
                <c:pt idx="3">
                  <c:v>2014.</c:v>
                </c:pt>
                <c:pt idx="4">
                  <c:v>2015.</c:v>
                </c:pt>
                <c:pt idx="5">
                  <c:v>2016.</c:v>
                </c:pt>
                <c:pt idx="6">
                  <c:v>2017.</c:v>
                </c:pt>
              </c:strCache>
            </c:strRef>
          </c:cat>
          <c:val>
            <c:numRef>
              <c:f>orszagos_osszegzesek!$AB$17:$AB$23</c:f>
              <c:numCache>
                <c:formatCode>#,##0</c:formatCode>
                <c:ptCount val="7"/>
                <c:pt idx="0">
                  <c:v>3059.0</c:v>
                </c:pt>
                <c:pt idx="1">
                  <c:v>3015.0</c:v>
                </c:pt>
                <c:pt idx="2">
                  <c:v>3012.0</c:v>
                </c:pt>
                <c:pt idx="3">
                  <c:v>3089.0</c:v>
                </c:pt>
                <c:pt idx="4">
                  <c:v>3230.0</c:v>
                </c:pt>
                <c:pt idx="5">
                  <c:v>3181.0</c:v>
                </c:pt>
                <c:pt idx="6">
                  <c:v>2985.0</c:v>
                </c:pt>
              </c:numCache>
            </c:numRef>
          </c:val>
        </c:ser>
        <c:ser>
          <c:idx val="1"/>
          <c:order val="1"/>
          <c:tx>
            <c:strRef>
              <c:f>orszagos_osszegzesek!$AC$16</c:f>
              <c:strCache>
                <c:ptCount val="1"/>
                <c:pt idx="0">
                  <c:v>Ebből gyermek-keresztelés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orszagos_osszegzesek!$AA$17:$AA$23</c:f>
              <c:strCache>
                <c:ptCount val="7"/>
                <c:pt idx="0">
                  <c:v>2000.</c:v>
                </c:pt>
                <c:pt idx="1">
                  <c:v>2010.</c:v>
                </c:pt>
                <c:pt idx="2">
                  <c:v>2013.</c:v>
                </c:pt>
                <c:pt idx="3">
                  <c:v>2014.</c:v>
                </c:pt>
                <c:pt idx="4">
                  <c:v>2015.</c:v>
                </c:pt>
                <c:pt idx="5">
                  <c:v>2016.</c:v>
                </c:pt>
                <c:pt idx="6">
                  <c:v>2017.</c:v>
                </c:pt>
              </c:strCache>
            </c:strRef>
          </c:cat>
          <c:val>
            <c:numRef>
              <c:f>orszagos_osszegzesek!$AC$17:$AC$23</c:f>
              <c:numCache>
                <c:formatCode>#,##0</c:formatCode>
                <c:ptCount val="7"/>
                <c:pt idx="0">
                  <c:v>2395.0</c:v>
                </c:pt>
                <c:pt idx="1">
                  <c:v>2494.0</c:v>
                </c:pt>
                <c:pt idx="2">
                  <c:v>2441.0</c:v>
                </c:pt>
                <c:pt idx="3">
                  <c:v>2462.0</c:v>
                </c:pt>
                <c:pt idx="4">
                  <c:v>2630.0</c:v>
                </c:pt>
                <c:pt idx="5">
                  <c:v>2532.0</c:v>
                </c:pt>
                <c:pt idx="6">
                  <c:v>2344.0</c:v>
                </c:pt>
              </c:numCache>
            </c:numRef>
          </c:val>
        </c:ser>
        <c:ser>
          <c:idx val="2"/>
          <c:order val="2"/>
          <c:tx>
            <c:strRef>
              <c:f>orszagos_osszegzesek!$AD$16</c:f>
              <c:strCache>
                <c:ptCount val="1"/>
                <c:pt idx="0">
                  <c:v>Konfirmáció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orszagos_osszegzesek!$AA$17:$AA$23</c:f>
              <c:strCache>
                <c:ptCount val="7"/>
                <c:pt idx="0">
                  <c:v>2000.</c:v>
                </c:pt>
                <c:pt idx="1">
                  <c:v>2010.</c:v>
                </c:pt>
                <c:pt idx="2">
                  <c:v>2013.</c:v>
                </c:pt>
                <c:pt idx="3">
                  <c:v>2014.</c:v>
                </c:pt>
                <c:pt idx="4">
                  <c:v>2015.</c:v>
                </c:pt>
                <c:pt idx="5">
                  <c:v>2016.</c:v>
                </c:pt>
                <c:pt idx="6">
                  <c:v>2017.</c:v>
                </c:pt>
              </c:strCache>
            </c:strRef>
          </c:cat>
          <c:val>
            <c:numRef>
              <c:f>orszagos_osszegzesek!$AD$17:$AD$23</c:f>
              <c:numCache>
                <c:formatCode>#,##0</c:formatCode>
                <c:ptCount val="7"/>
                <c:pt idx="0">
                  <c:v>2240.0</c:v>
                </c:pt>
                <c:pt idx="1">
                  <c:v>1695.0</c:v>
                </c:pt>
                <c:pt idx="2">
                  <c:v>1563.0</c:v>
                </c:pt>
                <c:pt idx="3">
                  <c:v>1576.0</c:v>
                </c:pt>
                <c:pt idx="4">
                  <c:v>1567.0</c:v>
                </c:pt>
                <c:pt idx="5">
                  <c:v>1728.0</c:v>
                </c:pt>
                <c:pt idx="6">
                  <c:v>1716.0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069925768"/>
        <c:axId val="-2145415112"/>
      </c:barChart>
      <c:catAx>
        <c:axId val="-206992576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45415112"/>
        <c:crosses val="autoZero"/>
        <c:auto val="1"/>
        <c:lblAlgn val="ctr"/>
        <c:lblOffset val="100"/>
        <c:noMultiLvlLbl val="0"/>
      </c:catAx>
      <c:valAx>
        <c:axId val="-21454151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2069925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5D23C-C7E6-3647-9E92-CC56ABB4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12</Pages>
  <Words>3535</Words>
  <Characters>20151</Characters>
  <Application>Microsoft Macintosh Word</Application>
  <DocSecurity>0</DocSecurity>
  <Lines>167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2019-02-16T12:15:00Z</cp:lastPrinted>
  <dcterms:created xsi:type="dcterms:W3CDTF">2019-02-16T12:15:00Z</dcterms:created>
  <dcterms:modified xsi:type="dcterms:W3CDTF">2019-02-16T18:12:00Z</dcterms:modified>
</cp:coreProperties>
</file>